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39" w:rsidRDefault="00C72439" w:rsidP="00681CD4">
      <w:pPr>
        <w:spacing w:after="0" w:line="240" w:lineRule="auto"/>
        <w:jc w:val="right"/>
        <w:rPr>
          <w:rFonts w:cs="Arial"/>
        </w:rPr>
      </w:pPr>
      <w:bookmarkStart w:id="0" w:name="_GoBack"/>
      <w:bookmarkEnd w:id="0"/>
    </w:p>
    <w:p w:rsidR="009C2AA9" w:rsidRPr="000F4604" w:rsidRDefault="003A3A04" w:rsidP="00681CD4">
      <w:pPr>
        <w:spacing w:after="0" w:line="240" w:lineRule="auto"/>
        <w:jc w:val="right"/>
        <w:rPr>
          <w:rFonts w:cs="Arial"/>
        </w:rPr>
      </w:pPr>
      <w:r w:rsidRPr="000F4604">
        <w:rPr>
          <w:rFonts w:cs="Arial"/>
          <w:noProof/>
          <w:lang w:eastAsia="en-GB"/>
        </w:rPr>
        <w:drawing>
          <wp:anchor distT="0" distB="0" distL="114300" distR="114300" simplePos="0" relativeHeight="251659264" behindDoc="1" locked="0" layoutInCell="1" allowOverlap="1" wp14:anchorId="46E88414" wp14:editId="611FC071">
            <wp:simplePos x="0" y="0"/>
            <wp:positionH relativeFrom="column">
              <wp:posOffset>2563495</wp:posOffset>
            </wp:positionH>
            <wp:positionV relativeFrom="paragraph">
              <wp:posOffset>-119380</wp:posOffset>
            </wp:positionV>
            <wp:extent cx="3571240" cy="1001395"/>
            <wp:effectExtent l="0" t="0" r="0" b="8255"/>
            <wp:wrapTight wrapText="bothSides">
              <wp:wrapPolygon edited="0">
                <wp:start x="0" y="0"/>
                <wp:lineTo x="0" y="21367"/>
                <wp:lineTo x="21431" y="21367"/>
                <wp:lineTo x="21431" y="0"/>
                <wp:lineTo x="0" y="0"/>
              </wp:wrapPolygon>
            </wp:wrapTight>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71240" cy="1001395"/>
                    </a:xfrm>
                    <a:prstGeom prst="rect">
                      <a:avLst/>
                    </a:prstGeom>
                  </pic:spPr>
                </pic:pic>
              </a:graphicData>
            </a:graphic>
            <wp14:sizeRelH relativeFrom="page">
              <wp14:pctWidth>0</wp14:pctWidth>
            </wp14:sizeRelH>
            <wp14:sizeRelV relativeFrom="page">
              <wp14:pctHeight>0</wp14:pctHeight>
            </wp14:sizeRelV>
          </wp:anchor>
        </w:drawing>
      </w:r>
    </w:p>
    <w:p w:rsidR="00C824F4" w:rsidRPr="000F4604" w:rsidRDefault="00C824F4" w:rsidP="00681CD4">
      <w:pPr>
        <w:spacing w:after="0" w:line="240" w:lineRule="auto"/>
        <w:jc w:val="both"/>
        <w:rPr>
          <w:rFonts w:cs="Arial"/>
        </w:rPr>
      </w:pPr>
    </w:p>
    <w:p w:rsidR="00C824F4" w:rsidRPr="000F4604" w:rsidRDefault="00C824F4" w:rsidP="00681CD4">
      <w:pPr>
        <w:spacing w:after="0" w:line="240" w:lineRule="auto"/>
        <w:jc w:val="both"/>
        <w:rPr>
          <w:rFonts w:cs="Arial"/>
        </w:rPr>
      </w:pPr>
    </w:p>
    <w:p w:rsidR="00C4551E" w:rsidRPr="000F4604" w:rsidRDefault="00C4551E" w:rsidP="00681CD4">
      <w:pPr>
        <w:spacing w:after="0" w:line="240" w:lineRule="auto"/>
        <w:jc w:val="both"/>
        <w:rPr>
          <w:rFonts w:cs="Arial"/>
        </w:rPr>
      </w:pPr>
    </w:p>
    <w:p w:rsidR="003A3A04" w:rsidRPr="000F4604" w:rsidRDefault="003A3A04" w:rsidP="00681CD4">
      <w:pPr>
        <w:spacing w:after="0" w:line="240" w:lineRule="auto"/>
        <w:jc w:val="both"/>
        <w:rPr>
          <w:rFonts w:cs="Arial"/>
        </w:rPr>
      </w:pPr>
    </w:p>
    <w:p w:rsidR="003A3A04" w:rsidRPr="000F4604" w:rsidRDefault="003A3A04" w:rsidP="00681CD4">
      <w:pPr>
        <w:spacing w:after="0" w:line="240" w:lineRule="auto"/>
        <w:jc w:val="both"/>
        <w:rPr>
          <w:rFonts w:cs="Arial"/>
        </w:rPr>
      </w:pPr>
    </w:p>
    <w:p w:rsidR="00C4551E" w:rsidRPr="000F4604" w:rsidRDefault="00C4551E" w:rsidP="00681CD4">
      <w:pPr>
        <w:spacing w:after="0" w:line="240" w:lineRule="auto"/>
        <w:jc w:val="both"/>
        <w:rPr>
          <w:rFonts w:cs="Arial"/>
        </w:rPr>
      </w:pPr>
    </w:p>
    <w:p w:rsidR="00C4551E" w:rsidRPr="000F4604" w:rsidRDefault="00C4551E" w:rsidP="00681CD4">
      <w:pPr>
        <w:spacing w:after="0" w:line="240" w:lineRule="auto"/>
        <w:jc w:val="both"/>
        <w:rPr>
          <w:rFonts w:cs="Arial"/>
        </w:rPr>
      </w:pPr>
    </w:p>
    <w:p w:rsidR="00C4551E" w:rsidRPr="000F4604" w:rsidRDefault="00C4551E" w:rsidP="00681CD4">
      <w:pPr>
        <w:spacing w:after="0" w:line="240" w:lineRule="auto"/>
        <w:jc w:val="both"/>
        <w:rPr>
          <w:rFonts w:cs="Arial"/>
        </w:rPr>
      </w:pPr>
    </w:p>
    <w:p w:rsidR="00C4551E" w:rsidRPr="000F4604" w:rsidRDefault="00C4551E" w:rsidP="00681CD4">
      <w:pPr>
        <w:spacing w:after="0" w:line="240" w:lineRule="auto"/>
        <w:jc w:val="both"/>
        <w:rPr>
          <w:rFonts w:cs="Arial"/>
        </w:rPr>
      </w:pPr>
    </w:p>
    <w:p w:rsidR="00681CD4" w:rsidRDefault="00681CD4" w:rsidP="00681CD4">
      <w:pPr>
        <w:spacing w:after="0" w:line="240" w:lineRule="auto"/>
        <w:jc w:val="center"/>
        <w:rPr>
          <w:rFonts w:cs="Arial"/>
          <w:b/>
          <w:sz w:val="52"/>
          <w:szCs w:val="52"/>
        </w:rPr>
      </w:pPr>
    </w:p>
    <w:p w:rsidR="00C824F4" w:rsidRPr="00CC17A4" w:rsidRDefault="00C824F4" w:rsidP="00681CD4">
      <w:pPr>
        <w:spacing w:after="0" w:line="240" w:lineRule="auto"/>
        <w:jc w:val="center"/>
        <w:rPr>
          <w:rFonts w:cs="Arial"/>
          <w:b/>
          <w:sz w:val="52"/>
          <w:szCs w:val="52"/>
        </w:rPr>
      </w:pPr>
      <w:r w:rsidRPr="00CC17A4">
        <w:rPr>
          <w:rFonts w:cs="Arial"/>
          <w:b/>
          <w:sz w:val="52"/>
          <w:szCs w:val="52"/>
        </w:rPr>
        <w:t>Equality, Diversity and Inclusion</w:t>
      </w:r>
    </w:p>
    <w:p w:rsidR="00681CD4" w:rsidRDefault="00681CD4" w:rsidP="00681CD4">
      <w:pPr>
        <w:spacing w:after="0" w:line="240" w:lineRule="auto"/>
        <w:jc w:val="center"/>
        <w:rPr>
          <w:rFonts w:cs="Arial"/>
          <w:b/>
          <w:sz w:val="52"/>
          <w:szCs w:val="52"/>
        </w:rPr>
      </w:pPr>
    </w:p>
    <w:p w:rsidR="000318D4" w:rsidRDefault="00C824F4" w:rsidP="00681CD4">
      <w:pPr>
        <w:spacing w:after="0" w:line="240" w:lineRule="auto"/>
        <w:jc w:val="center"/>
        <w:rPr>
          <w:rFonts w:cs="Arial"/>
          <w:b/>
          <w:sz w:val="52"/>
          <w:szCs w:val="52"/>
        </w:rPr>
      </w:pPr>
      <w:r w:rsidRPr="00CC17A4">
        <w:rPr>
          <w:rFonts w:cs="Arial"/>
          <w:b/>
          <w:sz w:val="52"/>
          <w:szCs w:val="52"/>
        </w:rPr>
        <w:t>Annual Report</w:t>
      </w:r>
    </w:p>
    <w:p w:rsidR="00681CD4" w:rsidRPr="00CC17A4" w:rsidRDefault="00681CD4" w:rsidP="00681CD4">
      <w:pPr>
        <w:spacing w:after="0" w:line="240" w:lineRule="auto"/>
        <w:jc w:val="center"/>
        <w:rPr>
          <w:rFonts w:cs="Arial"/>
          <w:b/>
          <w:sz w:val="52"/>
          <w:szCs w:val="52"/>
        </w:rPr>
      </w:pPr>
    </w:p>
    <w:p w:rsidR="00350457" w:rsidRPr="00CC17A4" w:rsidRDefault="00DC25CD" w:rsidP="00681CD4">
      <w:pPr>
        <w:spacing w:after="0" w:line="240" w:lineRule="auto"/>
        <w:jc w:val="center"/>
        <w:rPr>
          <w:rFonts w:cs="Arial"/>
          <w:b/>
          <w:sz w:val="52"/>
          <w:szCs w:val="52"/>
        </w:rPr>
      </w:pPr>
      <w:r w:rsidRPr="00CC17A4">
        <w:rPr>
          <w:rFonts w:cs="Arial"/>
          <w:b/>
          <w:sz w:val="52"/>
          <w:szCs w:val="52"/>
        </w:rPr>
        <w:t>2015</w:t>
      </w:r>
    </w:p>
    <w:p w:rsidR="00350457" w:rsidRPr="000F4604" w:rsidRDefault="003A3A04" w:rsidP="00681CD4">
      <w:pPr>
        <w:spacing w:after="0" w:line="240" w:lineRule="auto"/>
        <w:jc w:val="both"/>
        <w:rPr>
          <w:rFonts w:cs="Arial"/>
        </w:rPr>
      </w:pPr>
      <w:r w:rsidRPr="000F4604">
        <w:rPr>
          <w:rFonts w:cs="Arial"/>
          <w:noProof/>
          <w:lang w:eastAsia="en-GB"/>
        </w:rPr>
        <w:drawing>
          <wp:anchor distT="0" distB="0" distL="114300" distR="114300" simplePos="0" relativeHeight="251658240" behindDoc="1" locked="0" layoutInCell="1" allowOverlap="1" wp14:anchorId="5A60EF1D" wp14:editId="53C21149">
            <wp:simplePos x="0" y="0"/>
            <wp:positionH relativeFrom="column">
              <wp:posOffset>1649730</wp:posOffset>
            </wp:positionH>
            <wp:positionV relativeFrom="paragraph">
              <wp:posOffset>2972435</wp:posOffset>
            </wp:positionV>
            <wp:extent cx="2156460" cy="920115"/>
            <wp:effectExtent l="0" t="0" r="0" b="0"/>
            <wp:wrapTight wrapText="bothSides">
              <wp:wrapPolygon edited="0">
                <wp:start x="0" y="0"/>
                <wp:lineTo x="0" y="21019"/>
                <wp:lineTo x="21371" y="21019"/>
                <wp:lineTo x="21371" y="0"/>
                <wp:lineTo x="0" y="0"/>
              </wp:wrapPolygon>
            </wp:wrapTight>
            <wp:docPr id="1" name="Picture 1" descr="C:\Users\localuser.BE-EDI-T1001-L7\Downloads\ED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user.BE-EDI-T1001-L7\Downloads\EDI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646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00350457" w:rsidRPr="000F4604">
        <w:rPr>
          <w:rFonts w:cs="Arial"/>
        </w:rPr>
        <w:br w:type="page"/>
      </w:r>
    </w:p>
    <w:p w:rsidR="0020591E" w:rsidRDefault="0020591E" w:rsidP="00681CD4">
      <w:pPr>
        <w:spacing w:after="0" w:line="240" w:lineRule="auto"/>
        <w:jc w:val="both"/>
        <w:rPr>
          <w:rFonts w:cs="Arial"/>
          <w:b/>
        </w:rPr>
      </w:pPr>
      <w:r w:rsidRPr="000F4604">
        <w:rPr>
          <w:rFonts w:cs="Arial"/>
          <w:b/>
        </w:rPr>
        <w:lastRenderedPageBreak/>
        <w:t>Contents</w:t>
      </w:r>
    </w:p>
    <w:p w:rsidR="009D3F05" w:rsidRPr="000F4604" w:rsidRDefault="009D3F05" w:rsidP="00681CD4">
      <w:pPr>
        <w:spacing w:after="0" w:line="240" w:lineRule="auto"/>
        <w:jc w:val="both"/>
        <w:rPr>
          <w:rFonts w:cs="Arial"/>
          <w:b/>
        </w:rPr>
      </w:pPr>
    </w:p>
    <w:p w:rsidR="00E71D58" w:rsidRPr="000F4604" w:rsidRDefault="001B4485" w:rsidP="004420D5">
      <w:pPr>
        <w:spacing w:after="0" w:line="360" w:lineRule="auto"/>
        <w:jc w:val="both"/>
        <w:rPr>
          <w:rFonts w:cs="Arial"/>
        </w:rPr>
      </w:pPr>
      <w:r w:rsidRPr="000F4604">
        <w:rPr>
          <w:rFonts w:cs="Arial"/>
        </w:rPr>
        <w:t xml:space="preserve">1. </w:t>
      </w:r>
      <w:r w:rsidR="00E5013F" w:rsidRPr="000F4604">
        <w:rPr>
          <w:rFonts w:cs="Arial"/>
        </w:rPr>
        <w:t>Introduction</w:t>
      </w:r>
    </w:p>
    <w:p w:rsidR="0020591E" w:rsidRPr="000F4604" w:rsidRDefault="001B4485" w:rsidP="004420D5">
      <w:pPr>
        <w:spacing w:after="0" w:line="360" w:lineRule="auto"/>
        <w:jc w:val="both"/>
        <w:rPr>
          <w:rFonts w:cs="Arial"/>
        </w:rPr>
      </w:pPr>
      <w:r w:rsidRPr="000F4604">
        <w:rPr>
          <w:rFonts w:cs="Arial"/>
        </w:rPr>
        <w:t>2</w:t>
      </w:r>
      <w:r w:rsidR="00215F57" w:rsidRPr="000F4604">
        <w:rPr>
          <w:rFonts w:cs="Arial"/>
        </w:rPr>
        <w:t>. Policy S</w:t>
      </w:r>
      <w:r w:rsidR="0020591E" w:rsidRPr="000F4604">
        <w:rPr>
          <w:rFonts w:cs="Arial"/>
        </w:rPr>
        <w:t>tatement</w:t>
      </w:r>
    </w:p>
    <w:p w:rsidR="0020591E" w:rsidRPr="000F4604" w:rsidRDefault="001B4485" w:rsidP="004420D5">
      <w:pPr>
        <w:spacing w:after="0" w:line="360" w:lineRule="auto"/>
        <w:jc w:val="both"/>
        <w:rPr>
          <w:rFonts w:cs="Arial"/>
        </w:rPr>
      </w:pPr>
      <w:r w:rsidRPr="000F4604">
        <w:rPr>
          <w:rFonts w:cs="Arial"/>
        </w:rPr>
        <w:t>3</w:t>
      </w:r>
      <w:r w:rsidR="00215F57" w:rsidRPr="000F4604">
        <w:rPr>
          <w:rFonts w:cs="Arial"/>
        </w:rPr>
        <w:t>. Legislative C</w:t>
      </w:r>
      <w:r w:rsidR="0020591E" w:rsidRPr="000F4604">
        <w:rPr>
          <w:rFonts w:cs="Arial"/>
        </w:rPr>
        <w:t>ompliance</w:t>
      </w:r>
    </w:p>
    <w:p w:rsidR="0020591E" w:rsidRPr="000F4604" w:rsidRDefault="001B4485" w:rsidP="004420D5">
      <w:pPr>
        <w:spacing w:after="0" w:line="360" w:lineRule="auto"/>
        <w:jc w:val="both"/>
        <w:rPr>
          <w:rFonts w:cs="Arial"/>
        </w:rPr>
      </w:pPr>
      <w:r w:rsidRPr="000F4604">
        <w:rPr>
          <w:rFonts w:cs="Arial"/>
        </w:rPr>
        <w:t>4</w:t>
      </w:r>
      <w:r w:rsidR="00215F57" w:rsidRPr="000F4604">
        <w:rPr>
          <w:rFonts w:cs="Arial"/>
        </w:rPr>
        <w:t>. Equality O</w:t>
      </w:r>
      <w:r w:rsidR="0020591E" w:rsidRPr="000F4604">
        <w:rPr>
          <w:rFonts w:cs="Arial"/>
        </w:rPr>
        <w:t>bjectives</w:t>
      </w:r>
      <w:r w:rsidR="00C72439">
        <w:rPr>
          <w:rFonts w:cs="Arial"/>
        </w:rPr>
        <w:t xml:space="preserve"> (up to April 2016)</w:t>
      </w:r>
    </w:p>
    <w:p w:rsidR="0020591E" w:rsidRPr="000F4604" w:rsidRDefault="001B4485" w:rsidP="004420D5">
      <w:pPr>
        <w:spacing w:after="0" w:line="360" w:lineRule="auto"/>
        <w:jc w:val="both"/>
        <w:rPr>
          <w:rFonts w:cs="Arial"/>
        </w:rPr>
      </w:pPr>
      <w:r w:rsidRPr="000F4604">
        <w:rPr>
          <w:rFonts w:cs="Arial"/>
        </w:rPr>
        <w:t>5</w:t>
      </w:r>
      <w:r w:rsidR="00215F57" w:rsidRPr="000F4604">
        <w:rPr>
          <w:rFonts w:cs="Arial"/>
        </w:rPr>
        <w:t>. P</w:t>
      </w:r>
      <w:r w:rsidR="0020591E" w:rsidRPr="000F4604">
        <w:rPr>
          <w:rFonts w:cs="Arial"/>
        </w:rPr>
        <w:t xml:space="preserve">erformance </w:t>
      </w:r>
      <w:r w:rsidR="005E3739" w:rsidRPr="000F4604">
        <w:rPr>
          <w:rFonts w:cs="Arial"/>
        </w:rPr>
        <w:t>a</w:t>
      </w:r>
      <w:r w:rsidR="00215F57" w:rsidRPr="000F4604">
        <w:rPr>
          <w:rFonts w:cs="Arial"/>
        </w:rPr>
        <w:t>gainst the Equality O</w:t>
      </w:r>
      <w:r w:rsidR="0020591E" w:rsidRPr="000F4604">
        <w:rPr>
          <w:rFonts w:cs="Arial"/>
        </w:rPr>
        <w:t>bjectives</w:t>
      </w:r>
      <w:r w:rsidR="00C72439">
        <w:rPr>
          <w:rFonts w:cs="Arial"/>
        </w:rPr>
        <w:t xml:space="preserve"> in 2015</w:t>
      </w:r>
    </w:p>
    <w:p w:rsidR="0020591E" w:rsidRPr="000F4604" w:rsidRDefault="001B4485" w:rsidP="004420D5">
      <w:pPr>
        <w:spacing w:after="0" w:line="360" w:lineRule="auto"/>
        <w:jc w:val="both"/>
        <w:rPr>
          <w:rFonts w:cs="Arial"/>
        </w:rPr>
      </w:pPr>
      <w:r w:rsidRPr="000F4604">
        <w:rPr>
          <w:rFonts w:cs="Arial"/>
        </w:rPr>
        <w:t>6</w:t>
      </w:r>
      <w:r w:rsidR="0020591E" w:rsidRPr="000F4604">
        <w:rPr>
          <w:rFonts w:cs="Arial"/>
        </w:rPr>
        <w:t>. Ofsted</w:t>
      </w:r>
    </w:p>
    <w:p w:rsidR="0020591E" w:rsidRPr="000F4604" w:rsidRDefault="001B4485" w:rsidP="004420D5">
      <w:pPr>
        <w:spacing w:after="0" w:line="360" w:lineRule="auto"/>
        <w:jc w:val="both"/>
        <w:rPr>
          <w:rFonts w:cs="Arial"/>
        </w:rPr>
      </w:pPr>
      <w:r w:rsidRPr="000F4604">
        <w:rPr>
          <w:rFonts w:cs="Arial"/>
        </w:rPr>
        <w:t>7</w:t>
      </w:r>
      <w:r w:rsidR="0020591E" w:rsidRPr="000F4604">
        <w:rPr>
          <w:rFonts w:cs="Arial"/>
        </w:rPr>
        <w:t>. The EDI Group</w:t>
      </w:r>
    </w:p>
    <w:p w:rsidR="0020591E" w:rsidRPr="000F4604" w:rsidRDefault="001B4485" w:rsidP="004420D5">
      <w:pPr>
        <w:spacing w:after="0" w:line="360" w:lineRule="auto"/>
        <w:jc w:val="both"/>
        <w:rPr>
          <w:rFonts w:cs="Arial"/>
        </w:rPr>
      </w:pPr>
      <w:r w:rsidRPr="000F4604">
        <w:rPr>
          <w:rFonts w:cs="Arial"/>
        </w:rPr>
        <w:t>8</w:t>
      </w:r>
      <w:r w:rsidR="0020591E" w:rsidRPr="000F4604">
        <w:rPr>
          <w:rFonts w:cs="Arial"/>
        </w:rPr>
        <w:t xml:space="preserve">. </w:t>
      </w:r>
      <w:r w:rsidR="0088642E" w:rsidRPr="000F4604">
        <w:rPr>
          <w:rFonts w:cs="Arial"/>
        </w:rPr>
        <w:t>Staffing P</w:t>
      </w:r>
      <w:r w:rsidR="0020591E" w:rsidRPr="000F4604">
        <w:rPr>
          <w:rFonts w:cs="Arial"/>
        </w:rPr>
        <w:t>rofile</w:t>
      </w:r>
    </w:p>
    <w:p w:rsidR="0020591E" w:rsidRPr="000F4604" w:rsidRDefault="001B4485" w:rsidP="004420D5">
      <w:pPr>
        <w:spacing w:after="0" w:line="360" w:lineRule="auto"/>
        <w:jc w:val="both"/>
        <w:rPr>
          <w:rFonts w:cs="Arial"/>
        </w:rPr>
      </w:pPr>
      <w:r w:rsidRPr="000F4604">
        <w:rPr>
          <w:rFonts w:cs="Arial"/>
        </w:rPr>
        <w:t>9</w:t>
      </w:r>
      <w:r w:rsidR="0020591E" w:rsidRPr="000F4604">
        <w:rPr>
          <w:rFonts w:cs="Arial"/>
        </w:rPr>
        <w:t xml:space="preserve">. </w:t>
      </w:r>
      <w:r w:rsidR="005E3739" w:rsidRPr="000F4604">
        <w:rPr>
          <w:rFonts w:cs="Arial"/>
        </w:rPr>
        <w:t>L</w:t>
      </w:r>
      <w:r w:rsidR="0020591E" w:rsidRPr="000F4604">
        <w:rPr>
          <w:rFonts w:cs="Arial"/>
        </w:rPr>
        <w:t>earner profile</w:t>
      </w:r>
    </w:p>
    <w:p w:rsidR="0020591E" w:rsidRPr="000F4604" w:rsidRDefault="001B4485" w:rsidP="004420D5">
      <w:pPr>
        <w:spacing w:after="0" w:line="360" w:lineRule="auto"/>
        <w:jc w:val="both"/>
        <w:rPr>
          <w:rFonts w:cs="Arial"/>
        </w:rPr>
      </w:pPr>
      <w:r w:rsidRPr="000F4604">
        <w:rPr>
          <w:rFonts w:cs="Arial"/>
        </w:rPr>
        <w:t>10</w:t>
      </w:r>
      <w:r w:rsidR="0088642E" w:rsidRPr="000F4604">
        <w:rPr>
          <w:rFonts w:cs="Arial"/>
        </w:rPr>
        <w:t xml:space="preserve">. Actions of EDI </w:t>
      </w:r>
      <w:r w:rsidR="00C72439">
        <w:rPr>
          <w:rFonts w:cs="Arial"/>
        </w:rPr>
        <w:t>last year</w:t>
      </w:r>
    </w:p>
    <w:p w:rsidR="0020591E" w:rsidRPr="000F4604" w:rsidRDefault="0088642E" w:rsidP="004420D5">
      <w:pPr>
        <w:pStyle w:val="ListParagraph"/>
        <w:numPr>
          <w:ilvl w:val="0"/>
          <w:numId w:val="10"/>
        </w:numPr>
        <w:spacing w:after="0" w:line="360" w:lineRule="auto"/>
        <w:jc w:val="both"/>
        <w:rPr>
          <w:rFonts w:ascii="Arial" w:hAnsi="Arial" w:cs="Arial"/>
        </w:rPr>
      </w:pPr>
      <w:r w:rsidRPr="000F4604">
        <w:rPr>
          <w:rFonts w:ascii="Arial" w:hAnsi="Arial" w:cs="Arial"/>
        </w:rPr>
        <w:t xml:space="preserve">Policy </w:t>
      </w:r>
      <w:r w:rsidR="00C72439">
        <w:rPr>
          <w:rFonts w:ascii="Arial" w:hAnsi="Arial" w:cs="Arial"/>
        </w:rPr>
        <w:t>Development</w:t>
      </w:r>
    </w:p>
    <w:p w:rsidR="0020591E" w:rsidRPr="000F4604" w:rsidRDefault="0020591E" w:rsidP="004420D5">
      <w:pPr>
        <w:pStyle w:val="ListParagraph"/>
        <w:numPr>
          <w:ilvl w:val="0"/>
          <w:numId w:val="10"/>
        </w:numPr>
        <w:spacing w:after="0" w:line="360" w:lineRule="auto"/>
        <w:jc w:val="both"/>
        <w:rPr>
          <w:rFonts w:ascii="Arial" w:hAnsi="Arial" w:cs="Arial"/>
        </w:rPr>
      </w:pPr>
      <w:r w:rsidRPr="000F4604">
        <w:rPr>
          <w:rFonts w:ascii="Arial" w:hAnsi="Arial" w:cs="Arial"/>
        </w:rPr>
        <w:t>Promoting EDI</w:t>
      </w:r>
    </w:p>
    <w:p w:rsidR="0020591E" w:rsidRPr="000F4604" w:rsidRDefault="0088642E" w:rsidP="004420D5">
      <w:pPr>
        <w:pStyle w:val="ListParagraph"/>
        <w:numPr>
          <w:ilvl w:val="0"/>
          <w:numId w:val="10"/>
        </w:numPr>
        <w:spacing w:after="0" w:line="360" w:lineRule="auto"/>
        <w:jc w:val="both"/>
        <w:rPr>
          <w:rFonts w:ascii="Arial" w:hAnsi="Arial" w:cs="Arial"/>
        </w:rPr>
      </w:pPr>
      <w:r w:rsidRPr="000F4604">
        <w:rPr>
          <w:rFonts w:ascii="Arial" w:hAnsi="Arial" w:cs="Arial"/>
        </w:rPr>
        <w:t>Engaging L</w:t>
      </w:r>
      <w:r w:rsidR="0020591E" w:rsidRPr="000F4604">
        <w:rPr>
          <w:rFonts w:ascii="Arial" w:hAnsi="Arial" w:cs="Arial"/>
        </w:rPr>
        <w:t>earners</w:t>
      </w:r>
    </w:p>
    <w:p w:rsidR="0020591E" w:rsidRPr="000F4604" w:rsidRDefault="0020591E" w:rsidP="004420D5">
      <w:pPr>
        <w:pStyle w:val="ListParagraph"/>
        <w:numPr>
          <w:ilvl w:val="0"/>
          <w:numId w:val="10"/>
        </w:numPr>
        <w:spacing w:after="0" w:line="360" w:lineRule="auto"/>
        <w:jc w:val="both"/>
        <w:rPr>
          <w:rFonts w:ascii="Arial" w:hAnsi="Arial" w:cs="Arial"/>
        </w:rPr>
      </w:pPr>
      <w:r w:rsidRPr="000F4604">
        <w:rPr>
          <w:rFonts w:ascii="Arial" w:hAnsi="Arial" w:cs="Arial"/>
        </w:rPr>
        <w:t xml:space="preserve">Training and </w:t>
      </w:r>
      <w:r w:rsidR="0088642E" w:rsidRPr="000F4604">
        <w:rPr>
          <w:rFonts w:ascii="Arial" w:hAnsi="Arial" w:cs="Arial"/>
        </w:rPr>
        <w:t>D</w:t>
      </w:r>
      <w:r w:rsidRPr="000F4604">
        <w:rPr>
          <w:rFonts w:ascii="Arial" w:hAnsi="Arial" w:cs="Arial"/>
        </w:rPr>
        <w:t>evelopment</w:t>
      </w:r>
    </w:p>
    <w:p w:rsidR="009371D8" w:rsidRPr="000F4604" w:rsidRDefault="009371D8" w:rsidP="004420D5">
      <w:pPr>
        <w:pStyle w:val="ListParagraph"/>
        <w:numPr>
          <w:ilvl w:val="0"/>
          <w:numId w:val="10"/>
        </w:numPr>
        <w:spacing w:after="0" w:line="360" w:lineRule="auto"/>
        <w:jc w:val="both"/>
        <w:rPr>
          <w:rFonts w:ascii="Arial" w:hAnsi="Arial" w:cs="Arial"/>
        </w:rPr>
      </w:pPr>
      <w:r w:rsidRPr="000F4604">
        <w:rPr>
          <w:rFonts w:ascii="Arial" w:hAnsi="Arial" w:cs="Arial"/>
        </w:rPr>
        <w:t>Service Monitoring</w:t>
      </w:r>
    </w:p>
    <w:p w:rsidR="0039704B" w:rsidRPr="000F4604" w:rsidRDefault="0039704B" w:rsidP="004420D5">
      <w:pPr>
        <w:pStyle w:val="ListParagraph"/>
        <w:numPr>
          <w:ilvl w:val="0"/>
          <w:numId w:val="10"/>
        </w:numPr>
        <w:spacing w:after="0" w:line="360" w:lineRule="auto"/>
        <w:jc w:val="both"/>
        <w:rPr>
          <w:rFonts w:ascii="Arial" w:hAnsi="Arial" w:cs="Arial"/>
        </w:rPr>
      </w:pPr>
      <w:r w:rsidRPr="000F4604">
        <w:rPr>
          <w:rFonts w:ascii="Arial" w:hAnsi="Arial" w:cs="Arial"/>
        </w:rPr>
        <w:t>Fair Futures</w:t>
      </w:r>
    </w:p>
    <w:p w:rsidR="0020591E" w:rsidRPr="000F4604" w:rsidRDefault="001B4485" w:rsidP="004420D5">
      <w:pPr>
        <w:spacing w:after="0" w:line="360" w:lineRule="auto"/>
        <w:jc w:val="both"/>
        <w:rPr>
          <w:rFonts w:cs="Arial"/>
        </w:rPr>
      </w:pPr>
      <w:r w:rsidRPr="000F4604">
        <w:rPr>
          <w:rFonts w:cs="Arial"/>
        </w:rPr>
        <w:t>11</w:t>
      </w:r>
      <w:r w:rsidR="0020591E" w:rsidRPr="000F4604">
        <w:rPr>
          <w:rFonts w:cs="Arial"/>
        </w:rPr>
        <w:t xml:space="preserve">. </w:t>
      </w:r>
      <w:r w:rsidR="0088642E" w:rsidRPr="000F4604">
        <w:rPr>
          <w:rFonts w:cs="Arial"/>
        </w:rPr>
        <w:t>Incidences of Bullying and H</w:t>
      </w:r>
      <w:r w:rsidR="0020591E" w:rsidRPr="000F4604">
        <w:rPr>
          <w:rFonts w:cs="Arial"/>
        </w:rPr>
        <w:t>arassment</w:t>
      </w:r>
    </w:p>
    <w:p w:rsidR="00CC17A4" w:rsidRDefault="00CC17A4" w:rsidP="004420D5">
      <w:pPr>
        <w:spacing w:after="0" w:line="360" w:lineRule="auto"/>
        <w:jc w:val="both"/>
        <w:rPr>
          <w:rFonts w:cs="Arial"/>
          <w:b/>
        </w:rPr>
      </w:pPr>
    </w:p>
    <w:p w:rsidR="0020591E" w:rsidRPr="000F4604" w:rsidRDefault="0020591E" w:rsidP="004420D5">
      <w:pPr>
        <w:spacing w:after="0" w:line="360" w:lineRule="auto"/>
        <w:jc w:val="both"/>
        <w:rPr>
          <w:rFonts w:cs="Arial"/>
          <w:b/>
        </w:rPr>
      </w:pPr>
      <w:r w:rsidRPr="000F4604">
        <w:rPr>
          <w:rFonts w:cs="Arial"/>
          <w:b/>
        </w:rPr>
        <w:t>Appendix A</w:t>
      </w:r>
    </w:p>
    <w:p w:rsidR="0020591E" w:rsidRPr="000F4604" w:rsidRDefault="0020591E" w:rsidP="004420D5">
      <w:pPr>
        <w:spacing w:after="0" w:line="360" w:lineRule="auto"/>
        <w:jc w:val="both"/>
        <w:rPr>
          <w:rFonts w:cs="Arial"/>
        </w:rPr>
      </w:pPr>
      <w:r w:rsidRPr="000F4604">
        <w:rPr>
          <w:rFonts w:cs="Arial"/>
        </w:rPr>
        <w:t>Guidance on the Public Sector Equality Duty</w:t>
      </w:r>
    </w:p>
    <w:p w:rsidR="0020591E" w:rsidRPr="000F4604" w:rsidRDefault="0020591E" w:rsidP="00681CD4">
      <w:pPr>
        <w:spacing w:after="0" w:line="240" w:lineRule="auto"/>
        <w:jc w:val="both"/>
        <w:rPr>
          <w:rFonts w:cs="Arial"/>
          <w:b/>
        </w:rPr>
      </w:pPr>
      <w:r w:rsidRPr="000F4604">
        <w:rPr>
          <w:rFonts w:cs="Arial"/>
          <w:b/>
        </w:rPr>
        <w:br w:type="page"/>
      </w:r>
    </w:p>
    <w:p w:rsidR="00767BF9" w:rsidRPr="000F4604" w:rsidRDefault="001B4485" w:rsidP="00681CD4">
      <w:pPr>
        <w:spacing w:after="0" w:line="240" w:lineRule="auto"/>
        <w:jc w:val="both"/>
        <w:rPr>
          <w:rFonts w:cs="Arial"/>
          <w:b/>
        </w:rPr>
      </w:pPr>
      <w:r w:rsidRPr="000F4604">
        <w:rPr>
          <w:rFonts w:cs="Arial"/>
          <w:b/>
        </w:rPr>
        <w:lastRenderedPageBreak/>
        <w:t xml:space="preserve">1. </w:t>
      </w:r>
      <w:r w:rsidR="00E5013F" w:rsidRPr="000F4604">
        <w:rPr>
          <w:rFonts w:cs="Arial"/>
          <w:b/>
        </w:rPr>
        <w:t>Introduction</w:t>
      </w:r>
    </w:p>
    <w:p w:rsidR="00767BF9" w:rsidRDefault="00767BF9" w:rsidP="00681CD4">
      <w:pPr>
        <w:spacing w:after="0" w:line="240" w:lineRule="auto"/>
        <w:jc w:val="both"/>
        <w:rPr>
          <w:rFonts w:cs="Arial"/>
        </w:rPr>
      </w:pPr>
      <w:r w:rsidRPr="000F4604">
        <w:rPr>
          <w:rFonts w:cs="Arial"/>
        </w:rPr>
        <w:t>Central College is committed to the success of its learners and staff and to embedding equality and diversity within all aspects of its business and academic functions.</w:t>
      </w:r>
    </w:p>
    <w:p w:rsidR="004420D5" w:rsidRPr="000F4604" w:rsidRDefault="004420D5" w:rsidP="00681CD4">
      <w:pPr>
        <w:spacing w:after="0" w:line="240" w:lineRule="auto"/>
        <w:jc w:val="both"/>
        <w:rPr>
          <w:rFonts w:cs="Arial"/>
        </w:rPr>
      </w:pPr>
    </w:p>
    <w:p w:rsidR="00767BF9" w:rsidRPr="000F4604" w:rsidRDefault="00681CD4" w:rsidP="00681CD4">
      <w:pPr>
        <w:spacing w:after="0" w:line="240" w:lineRule="auto"/>
        <w:jc w:val="both"/>
        <w:rPr>
          <w:rFonts w:cs="Arial"/>
        </w:rPr>
      </w:pPr>
      <w:r>
        <w:rPr>
          <w:rFonts w:cs="Arial"/>
        </w:rPr>
        <w:t xml:space="preserve">This </w:t>
      </w:r>
      <w:r w:rsidR="00767BF9" w:rsidRPr="000F4604">
        <w:rPr>
          <w:rFonts w:cs="Arial"/>
        </w:rPr>
        <w:t xml:space="preserve">Annual Report provides a review of </w:t>
      </w:r>
      <w:r>
        <w:rPr>
          <w:rFonts w:cs="Arial"/>
        </w:rPr>
        <w:t>E</w:t>
      </w:r>
      <w:r w:rsidR="00767BF9" w:rsidRPr="000F4604">
        <w:rPr>
          <w:rFonts w:cs="Arial"/>
        </w:rPr>
        <w:t xml:space="preserve">quality, </w:t>
      </w:r>
      <w:r>
        <w:rPr>
          <w:rFonts w:cs="Arial"/>
        </w:rPr>
        <w:t>D</w:t>
      </w:r>
      <w:r w:rsidR="00767BF9" w:rsidRPr="000F4604">
        <w:rPr>
          <w:rFonts w:cs="Arial"/>
        </w:rPr>
        <w:t xml:space="preserve">iversity and </w:t>
      </w:r>
      <w:r>
        <w:rPr>
          <w:rFonts w:cs="Arial"/>
        </w:rPr>
        <w:t>I</w:t>
      </w:r>
      <w:r w:rsidR="00767BF9" w:rsidRPr="000F4604">
        <w:rPr>
          <w:rFonts w:cs="Arial"/>
        </w:rPr>
        <w:t>nclusion</w:t>
      </w:r>
      <w:r>
        <w:rPr>
          <w:rFonts w:cs="Arial"/>
        </w:rPr>
        <w:t xml:space="preserve"> (EDI)</w:t>
      </w:r>
      <w:r w:rsidR="00767BF9" w:rsidRPr="000F4604">
        <w:rPr>
          <w:rFonts w:cs="Arial"/>
        </w:rPr>
        <w:t xml:space="preserve"> at Central College Nottingham in 201</w:t>
      </w:r>
      <w:r w:rsidR="003A3A04" w:rsidRPr="000F4604">
        <w:rPr>
          <w:rFonts w:cs="Arial"/>
        </w:rPr>
        <w:t>5</w:t>
      </w:r>
      <w:r w:rsidR="00767BF9" w:rsidRPr="000F4604">
        <w:rPr>
          <w:rFonts w:cs="Arial"/>
        </w:rPr>
        <w:t xml:space="preserve">.  It includes equality information on the </w:t>
      </w:r>
      <w:r w:rsidR="00D8347C" w:rsidRPr="000F4604">
        <w:rPr>
          <w:rFonts w:cs="Arial"/>
        </w:rPr>
        <w:t>C</w:t>
      </w:r>
      <w:r w:rsidR="00767BF9" w:rsidRPr="000F4604">
        <w:rPr>
          <w:rFonts w:cs="Arial"/>
        </w:rPr>
        <w:t>ollege’s learner and staff population</w:t>
      </w:r>
      <w:r w:rsidR="00F22FF8" w:rsidRPr="000F4604">
        <w:rPr>
          <w:rFonts w:cs="Arial"/>
        </w:rPr>
        <w:t>s</w:t>
      </w:r>
      <w:r w:rsidR="00767BF9" w:rsidRPr="000F4604">
        <w:rPr>
          <w:rFonts w:cs="Arial"/>
        </w:rPr>
        <w:t xml:space="preserve"> and details the active commitment </w:t>
      </w:r>
      <w:r w:rsidR="00E71D58" w:rsidRPr="000F4604">
        <w:rPr>
          <w:rFonts w:cs="Arial"/>
        </w:rPr>
        <w:t xml:space="preserve">of the </w:t>
      </w:r>
      <w:r w:rsidR="00767BF9" w:rsidRPr="000F4604">
        <w:rPr>
          <w:rFonts w:cs="Arial"/>
        </w:rPr>
        <w:t xml:space="preserve">College </w:t>
      </w:r>
      <w:r w:rsidR="00E71D58" w:rsidRPr="000F4604">
        <w:rPr>
          <w:rFonts w:cs="Arial"/>
        </w:rPr>
        <w:t xml:space="preserve">to continually </w:t>
      </w:r>
      <w:r w:rsidR="00767BF9" w:rsidRPr="000F4604">
        <w:rPr>
          <w:rFonts w:cs="Arial"/>
        </w:rPr>
        <w:t xml:space="preserve">meet its </w:t>
      </w:r>
      <w:r w:rsidR="000D10A0" w:rsidRPr="000F4604">
        <w:rPr>
          <w:rFonts w:cs="Arial"/>
        </w:rPr>
        <w:t>P</w:t>
      </w:r>
      <w:r w:rsidR="00767BF9" w:rsidRPr="000F4604">
        <w:rPr>
          <w:rFonts w:cs="Arial"/>
        </w:rPr>
        <w:t xml:space="preserve">ublic </w:t>
      </w:r>
      <w:r w:rsidR="000D10A0" w:rsidRPr="000F4604">
        <w:rPr>
          <w:rFonts w:cs="Arial"/>
        </w:rPr>
        <w:t>S</w:t>
      </w:r>
      <w:r w:rsidR="00767BF9" w:rsidRPr="000F4604">
        <w:rPr>
          <w:rFonts w:cs="Arial"/>
        </w:rPr>
        <w:t xml:space="preserve">ector </w:t>
      </w:r>
      <w:r w:rsidR="000D10A0" w:rsidRPr="000F4604">
        <w:rPr>
          <w:rFonts w:cs="Arial"/>
        </w:rPr>
        <w:t>E</w:t>
      </w:r>
      <w:r w:rsidR="00767BF9" w:rsidRPr="000F4604">
        <w:rPr>
          <w:rFonts w:cs="Arial"/>
        </w:rPr>
        <w:t xml:space="preserve">quality </w:t>
      </w:r>
      <w:r w:rsidR="005E3739" w:rsidRPr="000F4604">
        <w:rPr>
          <w:rFonts w:cs="Arial"/>
        </w:rPr>
        <w:t>d</w:t>
      </w:r>
      <w:r w:rsidR="00767BF9" w:rsidRPr="000F4604">
        <w:rPr>
          <w:rFonts w:cs="Arial"/>
        </w:rPr>
        <w:t>uties</w:t>
      </w:r>
      <w:r w:rsidR="00E71D58" w:rsidRPr="000F4604">
        <w:rPr>
          <w:rFonts w:cs="Arial"/>
        </w:rPr>
        <w:t>. The report identifies progress</w:t>
      </w:r>
      <w:r w:rsidR="000D10A0" w:rsidRPr="000F4604">
        <w:rPr>
          <w:rFonts w:cs="Arial"/>
        </w:rPr>
        <w:t>,</w:t>
      </w:r>
      <w:r w:rsidR="00E71D58" w:rsidRPr="000F4604">
        <w:rPr>
          <w:rFonts w:cs="Arial"/>
        </w:rPr>
        <w:t xml:space="preserve"> and challenges</w:t>
      </w:r>
      <w:r w:rsidR="005E3739" w:rsidRPr="000F4604">
        <w:rPr>
          <w:rFonts w:cs="Arial"/>
        </w:rPr>
        <w:t>,</w:t>
      </w:r>
      <w:r w:rsidR="00E71D58" w:rsidRPr="000F4604">
        <w:rPr>
          <w:rFonts w:cs="Arial"/>
        </w:rPr>
        <w:t xml:space="preserve"> in continuing to provide a</w:t>
      </w:r>
      <w:r w:rsidR="000D10A0" w:rsidRPr="000F4604">
        <w:rPr>
          <w:rFonts w:cs="Arial"/>
        </w:rPr>
        <w:t xml:space="preserve"> supportive and </w:t>
      </w:r>
      <w:r w:rsidR="00E71D58" w:rsidRPr="000F4604">
        <w:rPr>
          <w:rFonts w:cs="Arial"/>
        </w:rPr>
        <w:t xml:space="preserve">inclusive environment for all members of the college community through a review of </w:t>
      </w:r>
      <w:r w:rsidR="00C72439">
        <w:rPr>
          <w:rFonts w:cs="Arial"/>
        </w:rPr>
        <w:t xml:space="preserve">EDI </w:t>
      </w:r>
      <w:r w:rsidR="00E71D58" w:rsidRPr="000F4604">
        <w:rPr>
          <w:rFonts w:cs="Arial"/>
        </w:rPr>
        <w:t>actions</w:t>
      </w:r>
      <w:r w:rsidR="00C72439">
        <w:rPr>
          <w:rFonts w:cs="Arial"/>
        </w:rPr>
        <w:t xml:space="preserve">, </w:t>
      </w:r>
      <w:r w:rsidR="00BF7AC2" w:rsidRPr="000F4604">
        <w:rPr>
          <w:rFonts w:cs="Arial"/>
        </w:rPr>
        <w:t xml:space="preserve">the work of the EDI </w:t>
      </w:r>
      <w:r w:rsidR="00C72439">
        <w:rPr>
          <w:rFonts w:cs="Arial"/>
        </w:rPr>
        <w:t>g</w:t>
      </w:r>
      <w:r w:rsidR="000B3477" w:rsidRPr="000F4604">
        <w:rPr>
          <w:rFonts w:cs="Arial"/>
        </w:rPr>
        <w:t>roup</w:t>
      </w:r>
      <w:r w:rsidR="00BF7AC2" w:rsidRPr="000F4604">
        <w:rPr>
          <w:rFonts w:cs="Arial"/>
        </w:rPr>
        <w:t xml:space="preserve">, and </w:t>
      </w:r>
      <w:r w:rsidR="000D10A0" w:rsidRPr="000F4604">
        <w:rPr>
          <w:rFonts w:cs="Arial"/>
        </w:rPr>
        <w:t xml:space="preserve">an </w:t>
      </w:r>
      <w:r w:rsidR="00BF7AC2" w:rsidRPr="000F4604">
        <w:rPr>
          <w:rFonts w:cs="Arial"/>
        </w:rPr>
        <w:t>analysis of equality information relating to staff and learners.</w:t>
      </w:r>
    </w:p>
    <w:p w:rsidR="00E57CD7" w:rsidRDefault="00E57CD7" w:rsidP="00681CD4">
      <w:pPr>
        <w:spacing w:after="0" w:line="240" w:lineRule="auto"/>
        <w:jc w:val="both"/>
        <w:rPr>
          <w:rFonts w:cs="Arial"/>
          <w:b/>
        </w:rPr>
      </w:pPr>
    </w:p>
    <w:p w:rsidR="00350457" w:rsidRPr="000F4604" w:rsidRDefault="001B4485" w:rsidP="00681CD4">
      <w:pPr>
        <w:spacing w:after="0" w:line="240" w:lineRule="auto"/>
        <w:jc w:val="both"/>
        <w:rPr>
          <w:rFonts w:cs="Arial"/>
          <w:b/>
        </w:rPr>
      </w:pPr>
      <w:r w:rsidRPr="000F4604">
        <w:rPr>
          <w:rFonts w:cs="Arial"/>
          <w:b/>
        </w:rPr>
        <w:t>2</w:t>
      </w:r>
      <w:r w:rsidR="0088642E" w:rsidRPr="000F4604">
        <w:rPr>
          <w:rFonts w:cs="Arial"/>
          <w:b/>
        </w:rPr>
        <w:t>. Policy S</w:t>
      </w:r>
      <w:r w:rsidR="00350457" w:rsidRPr="000F4604">
        <w:rPr>
          <w:rFonts w:cs="Arial"/>
          <w:b/>
        </w:rPr>
        <w:t>tatement</w:t>
      </w:r>
    </w:p>
    <w:p w:rsidR="00350457" w:rsidRPr="000F4604" w:rsidRDefault="00681CD4" w:rsidP="00681CD4">
      <w:pPr>
        <w:spacing w:after="0" w:line="240" w:lineRule="auto"/>
        <w:jc w:val="both"/>
        <w:rPr>
          <w:rFonts w:cs="Arial"/>
        </w:rPr>
      </w:pPr>
      <w:r>
        <w:rPr>
          <w:rFonts w:cs="Arial"/>
        </w:rPr>
        <w:t>I</w:t>
      </w:r>
      <w:r w:rsidR="003A3A04" w:rsidRPr="000F4604">
        <w:rPr>
          <w:rFonts w:cs="Arial"/>
        </w:rPr>
        <w:t xml:space="preserve">n 2015 </w:t>
      </w:r>
      <w:r>
        <w:rPr>
          <w:rFonts w:cs="Arial"/>
        </w:rPr>
        <w:t>the EDI group reviewed the EDI policy statement and refined the existing statement to more clearly express</w:t>
      </w:r>
      <w:r w:rsidR="003A3A04" w:rsidRPr="000F4604">
        <w:rPr>
          <w:rFonts w:cs="Arial"/>
        </w:rPr>
        <w:t xml:space="preserve"> </w:t>
      </w:r>
      <w:r>
        <w:rPr>
          <w:rFonts w:cs="Arial"/>
        </w:rPr>
        <w:t>the College’s</w:t>
      </w:r>
      <w:r w:rsidR="00350457" w:rsidRPr="000F4604">
        <w:rPr>
          <w:rFonts w:cs="Arial"/>
        </w:rPr>
        <w:t xml:space="preserve"> commitment to </w:t>
      </w:r>
      <w:r>
        <w:rPr>
          <w:rFonts w:cs="Arial"/>
        </w:rPr>
        <w:t>EDI</w:t>
      </w:r>
      <w:r w:rsidR="005E3739" w:rsidRPr="000F4604">
        <w:rPr>
          <w:rFonts w:cs="Arial"/>
        </w:rPr>
        <w:t>,</w:t>
      </w:r>
      <w:r w:rsidR="00350457" w:rsidRPr="000F4604">
        <w:rPr>
          <w:rFonts w:cs="Arial"/>
        </w:rPr>
        <w:t xml:space="preserve"> as follows:</w:t>
      </w:r>
    </w:p>
    <w:p w:rsidR="00350457" w:rsidRPr="000F4604" w:rsidRDefault="00350457" w:rsidP="00681CD4">
      <w:pPr>
        <w:spacing w:after="0" w:line="240" w:lineRule="auto"/>
        <w:jc w:val="both"/>
        <w:rPr>
          <w:rFonts w:cs="Arial"/>
        </w:rPr>
      </w:pPr>
    </w:p>
    <w:p w:rsidR="00D8347C" w:rsidRDefault="00D8347C" w:rsidP="00681CD4">
      <w:pPr>
        <w:pStyle w:val="PlainText"/>
        <w:rPr>
          <w:rFonts w:ascii="Arial" w:hAnsi="Arial" w:cs="Arial"/>
          <w:i/>
          <w:szCs w:val="22"/>
        </w:rPr>
      </w:pPr>
      <w:r w:rsidRPr="000F4604">
        <w:rPr>
          <w:rFonts w:ascii="Arial" w:hAnsi="Arial" w:cs="Arial"/>
          <w:i/>
          <w:szCs w:val="22"/>
        </w:rPr>
        <w:t>Central College Nottingham is positively committed to creating an environment which is free from discrimination, and where there is mutual respect and equality for all.</w:t>
      </w:r>
    </w:p>
    <w:p w:rsidR="004420D5" w:rsidRPr="000F4604" w:rsidRDefault="004420D5" w:rsidP="00681CD4">
      <w:pPr>
        <w:pStyle w:val="PlainText"/>
        <w:rPr>
          <w:rFonts w:ascii="Arial" w:hAnsi="Arial" w:cs="Arial"/>
          <w:i/>
          <w:szCs w:val="22"/>
        </w:rPr>
      </w:pPr>
    </w:p>
    <w:p w:rsidR="00350457" w:rsidRDefault="00681CD4" w:rsidP="00681CD4">
      <w:pPr>
        <w:spacing w:after="0" w:line="240" w:lineRule="auto"/>
        <w:jc w:val="both"/>
        <w:rPr>
          <w:rFonts w:eastAsia="Times New Roman" w:cs="Arial"/>
          <w:lang w:eastAsia="en-GB"/>
        </w:rPr>
      </w:pPr>
      <w:r>
        <w:rPr>
          <w:rFonts w:eastAsia="Times New Roman" w:cs="Arial"/>
          <w:lang w:eastAsia="en-GB"/>
        </w:rPr>
        <w:t>This statement is included in an updated EDI policy which will be submitted to the Corporation in February 2016 for approval.</w:t>
      </w:r>
    </w:p>
    <w:p w:rsidR="00681CD4" w:rsidRPr="000F4604" w:rsidRDefault="00681CD4" w:rsidP="00681CD4">
      <w:pPr>
        <w:spacing w:after="0" w:line="240" w:lineRule="auto"/>
        <w:jc w:val="both"/>
        <w:rPr>
          <w:rFonts w:eastAsia="Times New Roman" w:cs="Arial"/>
          <w:lang w:eastAsia="en-GB"/>
        </w:rPr>
      </w:pPr>
    </w:p>
    <w:p w:rsidR="00350457" w:rsidRPr="000F4604" w:rsidRDefault="001B4485" w:rsidP="00681CD4">
      <w:pPr>
        <w:spacing w:after="0" w:line="240" w:lineRule="auto"/>
        <w:jc w:val="both"/>
        <w:rPr>
          <w:rFonts w:cs="Arial"/>
          <w:b/>
        </w:rPr>
      </w:pPr>
      <w:r w:rsidRPr="000F4604">
        <w:rPr>
          <w:rFonts w:cs="Arial"/>
          <w:b/>
        </w:rPr>
        <w:t>3</w:t>
      </w:r>
      <w:r w:rsidR="0088642E" w:rsidRPr="000F4604">
        <w:rPr>
          <w:rFonts w:cs="Arial"/>
          <w:b/>
        </w:rPr>
        <w:t>. Legislative C</w:t>
      </w:r>
      <w:r w:rsidR="00350457" w:rsidRPr="000F4604">
        <w:rPr>
          <w:rFonts w:cs="Arial"/>
          <w:b/>
        </w:rPr>
        <w:t>ompliance</w:t>
      </w:r>
    </w:p>
    <w:p w:rsidR="00C148AD" w:rsidRPr="000F4604" w:rsidRDefault="00BF7AC2" w:rsidP="00681CD4">
      <w:pPr>
        <w:spacing w:after="0" w:line="240" w:lineRule="auto"/>
        <w:jc w:val="both"/>
        <w:rPr>
          <w:rFonts w:cs="Arial"/>
        </w:rPr>
      </w:pPr>
      <w:r w:rsidRPr="000F4604">
        <w:rPr>
          <w:rFonts w:cs="Arial"/>
        </w:rPr>
        <w:t xml:space="preserve">The College continues to meet its </w:t>
      </w:r>
      <w:r w:rsidR="00C3704F" w:rsidRPr="000F4604">
        <w:rPr>
          <w:rFonts w:cs="Arial"/>
        </w:rPr>
        <w:t>P</w:t>
      </w:r>
      <w:r w:rsidRPr="000F4604">
        <w:rPr>
          <w:rFonts w:cs="Arial"/>
        </w:rPr>
        <w:t xml:space="preserve">ublic </w:t>
      </w:r>
      <w:r w:rsidR="00C3704F" w:rsidRPr="000F4604">
        <w:rPr>
          <w:rFonts w:cs="Arial"/>
        </w:rPr>
        <w:t>S</w:t>
      </w:r>
      <w:r w:rsidRPr="000F4604">
        <w:rPr>
          <w:rFonts w:cs="Arial"/>
        </w:rPr>
        <w:t xml:space="preserve">ector </w:t>
      </w:r>
      <w:r w:rsidR="00C3704F" w:rsidRPr="000F4604">
        <w:rPr>
          <w:rFonts w:cs="Arial"/>
        </w:rPr>
        <w:t>E</w:t>
      </w:r>
      <w:r w:rsidRPr="000F4604">
        <w:rPr>
          <w:rFonts w:cs="Arial"/>
        </w:rPr>
        <w:t xml:space="preserve">quality </w:t>
      </w:r>
      <w:r w:rsidR="00C3704F" w:rsidRPr="000F4604">
        <w:rPr>
          <w:rFonts w:cs="Arial"/>
        </w:rPr>
        <w:t>D</w:t>
      </w:r>
      <w:r w:rsidRPr="000F4604">
        <w:rPr>
          <w:rFonts w:cs="Arial"/>
        </w:rPr>
        <w:t>uty</w:t>
      </w:r>
      <w:r w:rsidR="00C3704F" w:rsidRPr="000F4604">
        <w:rPr>
          <w:rFonts w:cs="Arial"/>
          <w:vertAlign w:val="superscript"/>
        </w:rPr>
        <w:t xml:space="preserve"> </w:t>
      </w:r>
      <w:r w:rsidRPr="000F4604">
        <w:rPr>
          <w:rFonts w:cs="Arial"/>
        </w:rPr>
        <w:t>responsibilities</w:t>
      </w:r>
      <w:r w:rsidR="0088642E" w:rsidRPr="000F4604">
        <w:rPr>
          <w:rFonts w:cs="Arial"/>
        </w:rPr>
        <w:t xml:space="preserve"> (</w:t>
      </w:r>
      <w:r w:rsidR="00DE4036" w:rsidRPr="000F4604">
        <w:rPr>
          <w:rFonts w:cs="Arial"/>
        </w:rPr>
        <w:t>Appendix A)</w:t>
      </w:r>
      <w:r w:rsidRPr="000F4604">
        <w:rPr>
          <w:rFonts w:cs="Arial"/>
        </w:rPr>
        <w:t xml:space="preserve">. </w:t>
      </w:r>
      <w:r w:rsidR="00350457" w:rsidRPr="000F4604">
        <w:rPr>
          <w:rFonts w:cs="Arial"/>
        </w:rPr>
        <w:t xml:space="preserve">The Equality Policy is legally compliant and </w:t>
      </w:r>
      <w:r w:rsidR="0088642E" w:rsidRPr="000F4604">
        <w:rPr>
          <w:rFonts w:cs="Arial"/>
        </w:rPr>
        <w:t>enable</w:t>
      </w:r>
      <w:r w:rsidR="00C148AD" w:rsidRPr="000F4604">
        <w:rPr>
          <w:rFonts w:cs="Arial"/>
        </w:rPr>
        <w:t>s</w:t>
      </w:r>
      <w:r w:rsidR="0088642E" w:rsidRPr="000F4604">
        <w:rPr>
          <w:rFonts w:cs="Arial"/>
        </w:rPr>
        <w:t xml:space="preserve"> the College</w:t>
      </w:r>
      <w:r w:rsidR="00350457" w:rsidRPr="000F4604">
        <w:rPr>
          <w:rFonts w:cs="Arial"/>
        </w:rPr>
        <w:t xml:space="preserve"> to respond to the statutory duties set out in the Equality Act 2010 and the Public Sector Equality Duty</w:t>
      </w:r>
      <w:r w:rsidR="00DE4036" w:rsidRPr="000F4604">
        <w:rPr>
          <w:rFonts w:cs="Arial"/>
        </w:rPr>
        <w:t xml:space="preserve"> 2011</w:t>
      </w:r>
      <w:r w:rsidR="00350457" w:rsidRPr="000F4604">
        <w:rPr>
          <w:rFonts w:cs="Arial"/>
        </w:rPr>
        <w:t xml:space="preserve"> to </w:t>
      </w:r>
      <w:r w:rsidR="00C3704F" w:rsidRPr="000F4604">
        <w:rPr>
          <w:rFonts w:cs="Arial"/>
        </w:rPr>
        <w:t>advance</w:t>
      </w:r>
      <w:r w:rsidR="00350457" w:rsidRPr="000F4604">
        <w:rPr>
          <w:rFonts w:cs="Arial"/>
        </w:rPr>
        <w:t xml:space="preserve"> equality of opportunity</w:t>
      </w:r>
      <w:r w:rsidR="00D8347C" w:rsidRPr="000F4604">
        <w:rPr>
          <w:rFonts w:cs="Arial"/>
        </w:rPr>
        <w:t xml:space="preserve">, </w:t>
      </w:r>
      <w:r w:rsidR="00C3704F" w:rsidRPr="000F4604">
        <w:rPr>
          <w:rFonts w:cs="Arial"/>
        </w:rPr>
        <w:t>eliminate</w:t>
      </w:r>
      <w:r w:rsidR="00350457" w:rsidRPr="000F4604">
        <w:rPr>
          <w:rFonts w:cs="Arial"/>
        </w:rPr>
        <w:t xml:space="preserve"> discrimination </w:t>
      </w:r>
      <w:r w:rsidR="00D8347C" w:rsidRPr="000F4604">
        <w:rPr>
          <w:rFonts w:cs="Arial"/>
        </w:rPr>
        <w:t>and foster good relations</w:t>
      </w:r>
      <w:r w:rsidR="005E3739" w:rsidRPr="000F4604">
        <w:rPr>
          <w:rFonts w:cs="Arial"/>
        </w:rPr>
        <w:t>.</w:t>
      </w:r>
      <w:r w:rsidR="00C148AD" w:rsidRPr="000F4604">
        <w:rPr>
          <w:rFonts w:cs="Arial"/>
        </w:rPr>
        <w:t xml:space="preserve"> </w:t>
      </w:r>
    </w:p>
    <w:p w:rsidR="00C148AD" w:rsidRPr="000F4604" w:rsidRDefault="00C148AD" w:rsidP="00681CD4">
      <w:pPr>
        <w:spacing w:after="0" w:line="240" w:lineRule="auto"/>
        <w:jc w:val="both"/>
        <w:rPr>
          <w:rFonts w:cs="Arial"/>
        </w:rPr>
      </w:pPr>
    </w:p>
    <w:p w:rsidR="00786ED8" w:rsidRPr="000F4604" w:rsidRDefault="00C148AD" w:rsidP="00681CD4">
      <w:pPr>
        <w:spacing w:after="0" w:line="240" w:lineRule="auto"/>
        <w:jc w:val="both"/>
        <w:rPr>
          <w:rFonts w:cs="Arial"/>
        </w:rPr>
      </w:pPr>
      <w:r w:rsidRPr="000F4604">
        <w:rPr>
          <w:rFonts w:cs="Arial"/>
        </w:rPr>
        <w:t>Legal compliance is supported by the provision of information, advice and guidance, and coaching and training to all stakeholders. Equality Analyses are conducted for all new or reviewed policies, procedural developments or changes in service provision.</w:t>
      </w:r>
    </w:p>
    <w:p w:rsidR="00786ED8" w:rsidRPr="000F4604" w:rsidRDefault="00786ED8" w:rsidP="00681CD4">
      <w:pPr>
        <w:spacing w:after="0" w:line="240" w:lineRule="auto"/>
        <w:jc w:val="both"/>
        <w:rPr>
          <w:rFonts w:cs="Arial"/>
        </w:rPr>
      </w:pPr>
    </w:p>
    <w:p w:rsidR="00C90368" w:rsidRPr="000F4604" w:rsidRDefault="005E3739" w:rsidP="00681CD4">
      <w:pPr>
        <w:spacing w:after="0" w:line="240" w:lineRule="auto"/>
        <w:jc w:val="both"/>
        <w:rPr>
          <w:rFonts w:cs="Arial"/>
        </w:rPr>
      </w:pPr>
      <w:r w:rsidRPr="000F4604">
        <w:rPr>
          <w:rFonts w:cs="Arial"/>
        </w:rPr>
        <w:t xml:space="preserve">As part of </w:t>
      </w:r>
      <w:r w:rsidR="00681CD4">
        <w:rPr>
          <w:rFonts w:cs="Arial"/>
        </w:rPr>
        <w:t>the</w:t>
      </w:r>
      <w:r w:rsidRPr="000F4604">
        <w:rPr>
          <w:rFonts w:cs="Arial"/>
        </w:rPr>
        <w:t xml:space="preserve"> annual </w:t>
      </w:r>
      <w:r w:rsidR="00681CD4">
        <w:rPr>
          <w:rFonts w:cs="Arial"/>
        </w:rPr>
        <w:t>review</w:t>
      </w:r>
      <w:r w:rsidRPr="000F4604">
        <w:rPr>
          <w:rFonts w:cs="Arial"/>
        </w:rPr>
        <w:t>, t</w:t>
      </w:r>
      <w:r w:rsidR="00350457" w:rsidRPr="000F4604">
        <w:rPr>
          <w:rFonts w:cs="Arial"/>
        </w:rPr>
        <w:t>h</w:t>
      </w:r>
      <w:r w:rsidR="0020591E" w:rsidRPr="000F4604">
        <w:rPr>
          <w:rFonts w:cs="Arial"/>
        </w:rPr>
        <w:t>e</w:t>
      </w:r>
      <w:r w:rsidR="00160F5A" w:rsidRPr="000F4604">
        <w:rPr>
          <w:rFonts w:cs="Arial"/>
        </w:rPr>
        <w:t xml:space="preserve"> </w:t>
      </w:r>
      <w:r w:rsidRPr="000F4604">
        <w:rPr>
          <w:rFonts w:cs="Arial"/>
        </w:rPr>
        <w:t xml:space="preserve">College’s </w:t>
      </w:r>
      <w:r w:rsidR="0020591E" w:rsidRPr="000F4604">
        <w:rPr>
          <w:rFonts w:cs="Arial"/>
        </w:rPr>
        <w:t>Equality</w:t>
      </w:r>
      <w:r w:rsidR="0088642E" w:rsidRPr="000F4604">
        <w:rPr>
          <w:rFonts w:cs="Arial"/>
        </w:rPr>
        <w:t xml:space="preserve"> P</w:t>
      </w:r>
      <w:r w:rsidR="00350457" w:rsidRPr="000F4604">
        <w:rPr>
          <w:rFonts w:cs="Arial"/>
        </w:rPr>
        <w:t>olicy</w:t>
      </w:r>
      <w:r w:rsidRPr="000F4604">
        <w:rPr>
          <w:rFonts w:cs="Arial"/>
        </w:rPr>
        <w:t xml:space="preserve"> was </w:t>
      </w:r>
      <w:r w:rsidR="000B3477" w:rsidRPr="000F4604">
        <w:rPr>
          <w:rFonts w:cs="Arial"/>
        </w:rPr>
        <w:t>reviewed for the per</w:t>
      </w:r>
      <w:r w:rsidR="0088642E" w:rsidRPr="000F4604">
        <w:rPr>
          <w:rFonts w:cs="Arial"/>
        </w:rPr>
        <w:t>iod February 20</w:t>
      </w:r>
      <w:r w:rsidR="00D8347C" w:rsidRPr="000F4604">
        <w:rPr>
          <w:rFonts w:cs="Arial"/>
        </w:rPr>
        <w:t>15</w:t>
      </w:r>
      <w:r w:rsidR="0088642E" w:rsidRPr="000F4604">
        <w:rPr>
          <w:rFonts w:cs="Arial"/>
        </w:rPr>
        <w:t>-February 201</w:t>
      </w:r>
      <w:r w:rsidR="00D8347C" w:rsidRPr="000F4604">
        <w:rPr>
          <w:rFonts w:cs="Arial"/>
        </w:rPr>
        <w:t>6</w:t>
      </w:r>
      <w:r w:rsidR="000B3477" w:rsidRPr="000F4604">
        <w:rPr>
          <w:rFonts w:cs="Arial"/>
        </w:rPr>
        <w:t xml:space="preserve"> </w:t>
      </w:r>
      <w:r w:rsidRPr="000F4604">
        <w:rPr>
          <w:rFonts w:cs="Arial"/>
        </w:rPr>
        <w:t xml:space="preserve">with </w:t>
      </w:r>
      <w:r w:rsidR="000B3477" w:rsidRPr="000F4604">
        <w:rPr>
          <w:rFonts w:cs="Arial"/>
        </w:rPr>
        <w:t>no substantive changes proposed</w:t>
      </w:r>
      <w:r w:rsidR="00681CD4">
        <w:rPr>
          <w:rFonts w:cs="Arial"/>
        </w:rPr>
        <w:t xml:space="preserve"> other than the policy statement as outlined above</w:t>
      </w:r>
      <w:r w:rsidR="000B3477" w:rsidRPr="000F4604">
        <w:rPr>
          <w:rFonts w:cs="Arial"/>
        </w:rPr>
        <w:t>.</w:t>
      </w:r>
    </w:p>
    <w:p w:rsidR="00D8347C" w:rsidRPr="000F4604" w:rsidRDefault="00D8347C" w:rsidP="00681CD4">
      <w:pPr>
        <w:spacing w:after="0" w:line="240" w:lineRule="auto"/>
        <w:jc w:val="both"/>
        <w:rPr>
          <w:rFonts w:cs="Arial"/>
        </w:rPr>
      </w:pPr>
    </w:p>
    <w:p w:rsidR="00D8347C" w:rsidRDefault="00301CCA" w:rsidP="00681CD4">
      <w:pPr>
        <w:spacing w:after="0" w:line="240" w:lineRule="auto"/>
        <w:jc w:val="both"/>
        <w:rPr>
          <w:rFonts w:cs="Arial"/>
        </w:rPr>
      </w:pPr>
      <w:r w:rsidRPr="000F4604">
        <w:rPr>
          <w:rFonts w:cs="Arial"/>
        </w:rPr>
        <w:t xml:space="preserve">To meet the specific duties of the Public Sector Equality Duty </w:t>
      </w:r>
      <w:r w:rsidR="00786ED8" w:rsidRPr="000F4604">
        <w:rPr>
          <w:rFonts w:cs="Arial"/>
        </w:rPr>
        <w:t>t</w:t>
      </w:r>
      <w:r w:rsidR="00D8347C" w:rsidRPr="000F4604">
        <w:rPr>
          <w:rFonts w:cs="Arial"/>
        </w:rPr>
        <w:t xml:space="preserve">he College’s equality objectives are </w:t>
      </w:r>
      <w:r w:rsidR="005E3739" w:rsidRPr="000F4604">
        <w:rPr>
          <w:rFonts w:cs="Arial"/>
        </w:rPr>
        <w:t>to be</w:t>
      </w:r>
      <w:r w:rsidRPr="000F4604">
        <w:rPr>
          <w:rFonts w:cs="Arial"/>
        </w:rPr>
        <w:t xml:space="preserve"> revi</w:t>
      </w:r>
      <w:r w:rsidR="005E3739" w:rsidRPr="000F4604">
        <w:rPr>
          <w:rFonts w:cs="Arial"/>
        </w:rPr>
        <w:t xml:space="preserve">sed </w:t>
      </w:r>
      <w:r w:rsidR="00786ED8" w:rsidRPr="000F4604">
        <w:rPr>
          <w:rFonts w:cs="Arial"/>
        </w:rPr>
        <w:t xml:space="preserve">at the start of 2016 and </w:t>
      </w:r>
      <w:r w:rsidR="005E3739" w:rsidRPr="000F4604">
        <w:rPr>
          <w:rFonts w:cs="Arial"/>
        </w:rPr>
        <w:t xml:space="preserve">new objectives </w:t>
      </w:r>
      <w:r w:rsidR="00786ED8" w:rsidRPr="000F4604">
        <w:rPr>
          <w:rFonts w:cs="Arial"/>
        </w:rPr>
        <w:t>are to be published by April 2016.</w:t>
      </w:r>
      <w:r w:rsidR="00681CD4">
        <w:rPr>
          <w:rFonts w:cs="Arial"/>
        </w:rPr>
        <w:t xml:space="preserve"> This is being taken forward by the EDI group currently.</w:t>
      </w:r>
    </w:p>
    <w:p w:rsidR="00681CD4" w:rsidRDefault="00681CD4" w:rsidP="00681CD4">
      <w:pPr>
        <w:spacing w:after="0" w:line="240" w:lineRule="auto"/>
        <w:jc w:val="both"/>
        <w:rPr>
          <w:rFonts w:cs="Arial"/>
        </w:rPr>
      </w:pPr>
    </w:p>
    <w:p w:rsidR="00C90368" w:rsidRPr="000F4604" w:rsidRDefault="001B4485" w:rsidP="00681CD4">
      <w:pPr>
        <w:spacing w:after="0" w:line="240" w:lineRule="auto"/>
        <w:jc w:val="both"/>
        <w:rPr>
          <w:rFonts w:cs="Arial"/>
          <w:b/>
        </w:rPr>
      </w:pPr>
      <w:r w:rsidRPr="000F4604">
        <w:rPr>
          <w:rFonts w:cs="Arial"/>
          <w:b/>
        </w:rPr>
        <w:t>4</w:t>
      </w:r>
      <w:r w:rsidR="00C90368" w:rsidRPr="000F4604">
        <w:rPr>
          <w:rFonts w:cs="Arial"/>
          <w:b/>
        </w:rPr>
        <w:t>. Equality Objectives</w:t>
      </w:r>
      <w:r w:rsidR="00D8347C" w:rsidRPr="000F4604">
        <w:rPr>
          <w:rFonts w:cs="Arial"/>
          <w:b/>
        </w:rPr>
        <w:t xml:space="preserve"> </w:t>
      </w:r>
      <w:r w:rsidR="00350AF5">
        <w:rPr>
          <w:rFonts w:cs="Arial"/>
          <w:b/>
        </w:rPr>
        <w:t>(</w:t>
      </w:r>
      <w:r w:rsidR="00681CD4">
        <w:rPr>
          <w:rFonts w:cs="Arial"/>
          <w:b/>
        </w:rPr>
        <w:t>up to April 2016</w:t>
      </w:r>
      <w:r w:rsidR="00350AF5">
        <w:rPr>
          <w:rFonts w:cs="Arial"/>
          <w:b/>
        </w:rPr>
        <w:t>)</w:t>
      </w:r>
    </w:p>
    <w:p w:rsidR="00C90368" w:rsidRDefault="00E5013F" w:rsidP="00681CD4">
      <w:pPr>
        <w:spacing w:after="0" w:line="240" w:lineRule="auto"/>
        <w:jc w:val="both"/>
        <w:rPr>
          <w:rFonts w:cs="Arial"/>
        </w:rPr>
      </w:pPr>
      <w:r w:rsidRPr="000F4604">
        <w:rPr>
          <w:rFonts w:eastAsia="Times New Roman" w:cs="Arial"/>
          <w:lang w:eastAsia="en-GB"/>
        </w:rPr>
        <w:t>T</w:t>
      </w:r>
      <w:r w:rsidR="00DE4036" w:rsidRPr="000F4604">
        <w:rPr>
          <w:rFonts w:eastAsia="Times New Roman" w:cs="Arial"/>
          <w:lang w:eastAsia="en-GB"/>
        </w:rPr>
        <w:t>o challenge discrimination and disadvantage, raise standards, and advance aspirations of all of our stakeholders</w:t>
      </w:r>
      <w:r w:rsidR="005E3739" w:rsidRPr="000F4604">
        <w:rPr>
          <w:rFonts w:eastAsia="Times New Roman" w:cs="Arial"/>
          <w:lang w:eastAsia="en-GB"/>
        </w:rPr>
        <w:t xml:space="preserve"> </w:t>
      </w:r>
      <w:r w:rsidRPr="000F4604">
        <w:rPr>
          <w:rFonts w:cs="Arial"/>
        </w:rPr>
        <w:t xml:space="preserve">Central’s objectives </w:t>
      </w:r>
      <w:r w:rsidR="00C90368" w:rsidRPr="000F4604">
        <w:rPr>
          <w:rFonts w:cs="Arial"/>
        </w:rPr>
        <w:t>were</w:t>
      </w:r>
      <w:r w:rsidR="00160F5A" w:rsidRPr="000F4604">
        <w:rPr>
          <w:rFonts w:cs="Arial"/>
        </w:rPr>
        <w:t xml:space="preserve"> to</w:t>
      </w:r>
      <w:r w:rsidR="00C90368" w:rsidRPr="000F4604">
        <w:rPr>
          <w:rFonts w:cs="Arial"/>
        </w:rPr>
        <w:t>:</w:t>
      </w:r>
    </w:p>
    <w:p w:rsidR="00E57CD7" w:rsidRPr="000F4604" w:rsidRDefault="00E57CD7" w:rsidP="00681CD4">
      <w:pPr>
        <w:spacing w:after="0" w:line="240" w:lineRule="auto"/>
        <w:jc w:val="both"/>
        <w:rPr>
          <w:rFonts w:cs="Arial"/>
        </w:rPr>
      </w:pPr>
    </w:p>
    <w:p w:rsidR="00C90368" w:rsidRPr="00740859" w:rsidRDefault="00C90368" w:rsidP="00740859">
      <w:pPr>
        <w:pStyle w:val="ListParagraph"/>
        <w:numPr>
          <w:ilvl w:val="0"/>
          <w:numId w:val="33"/>
        </w:numPr>
        <w:spacing w:after="0" w:line="240" w:lineRule="auto"/>
        <w:jc w:val="both"/>
        <w:rPr>
          <w:rFonts w:ascii="Arial" w:eastAsia="Times New Roman" w:hAnsi="Arial" w:cs="Arial"/>
          <w:lang w:eastAsia="en-GB"/>
        </w:rPr>
      </w:pPr>
      <w:r w:rsidRPr="00740859">
        <w:rPr>
          <w:rFonts w:ascii="Arial" w:eastAsia="Times New Roman" w:hAnsi="Arial" w:cs="Arial"/>
          <w:lang w:eastAsia="en-GB"/>
        </w:rPr>
        <w:t xml:space="preserve">Improve </w:t>
      </w:r>
      <w:r w:rsidR="005E3739" w:rsidRPr="00740859">
        <w:rPr>
          <w:rFonts w:ascii="Arial" w:eastAsia="Times New Roman" w:hAnsi="Arial" w:cs="Arial"/>
          <w:lang w:eastAsia="en-GB"/>
        </w:rPr>
        <w:t>s</w:t>
      </w:r>
      <w:r w:rsidRPr="00740859">
        <w:rPr>
          <w:rFonts w:ascii="Arial" w:eastAsia="Times New Roman" w:hAnsi="Arial" w:cs="Arial"/>
          <w:lang w:eastAsia="en-GB"/>
        </w:rPr>
        <w:t xml:space="preserve">tudent </w:t>
      </w:r>
      <w:r w:rsidR="005E3739" w:rsidRPr="00740859">
        <w:rPr>
          <w:rFonts w:ascii="Arial" w:eastAsia="Times New Roman" w:hAnsi="Arial" w:cs="Arial"/>
          <w:lang w:eastAsia="en-GB"/>
        </w:rPr>
        <w:t>r</w:t>
      </w:r>
      <w:r w:rsidRPr="00740859">
        <w:rPr>
          <w:rFonts w:ascii="Arial" w:eastAsia="Times New Roman" w:hAnsi="Arial" w:cs="Arial"/>
          <w:lang w:eastAsia="en-GB"/>
        </w:rPr>
        <w:t xml:space="preserve">etention and </w:t>
      </w:r>
      <w:r w:rsidR="005E3739" w:rsidRPr="00740859">
        <w:rPr>
          <w:rFonts w:ascii="Arial" w:eastAsia="Times New Roman" w:hAnsi="Arial" w:cs="Arial"/>
          <w:lang w:eastAsia="en-GB"/>
        </w:rPr>
        <w:t>s</w:t>
      </w:r>
      <w:r w:rsidRPr="00740859">
        <w:rPr>
          <w:rFonts w:ascii="Arial" w:eastAsia="Times New Roman" w:hAnsi="Arial" w:cs="Arial"/>
          <w:lang w:eastAsia="en-GB"/>
        </w:rPr>
        <w:t xml:space="preserve">uccess </w:t>
      </w:r>
      <w:r w:rsidR="005E3739" w:rsidRPr="00740859">
        <w:rPr>
          <w:rFonts w:ascii="Arial" w:eastAsia="Times New Roman" w:hAnsi="Arial" w:cs="Arial"/>
          <w:lang w:eastAsia="en-GB"/>
        </w:rPr>
        <w:t>r</w:t>
      </w:r>
      <w:r w:rsidRPr="00740859">
        <w:rPr>
          <w:rFonts w:ascii="Arial" w:eastAsia="Times New Roman" w:hAnsi="Arial" w:cs="Arial"/>
          <w:lang w:eastAsia="en-GB"/>
        </w:rPr>
        <w:t>ates for underachieving groups</w:t>
      </w:r>
      <w:r w:rsidR="000B3477" w:rsidRPr="00740859">
        <w:rPr>
          <w:rFonts w:ascii="Arial" w:eastAsia="Times New Roman" w:hAnsi="Arial" w:cs="Arial"/>
          <w:lang w:eastAsia="en-GB"/>
        </w:rPr>
        <w:t xml:space="preserve"> by</w:t>
      </w:r>
      <w:r w:rsidRPr="00740859">
        <w:rPr>
          <w:rFonts w:ascii="Arial" w:eastAsia="Times New Roman" w:hAnsi="Arial" w:cs="Arial"/>
          <w:lang w:eastAsia="en-GB"/>
        </w:rPr>
        <w:t>:</w:t>
      </w:r>
    </w:p>
    <w:p w:rsidR="0088642E" w:rsidRPr="000F4604" w:rsidRDefault="0088642E" w:rsidP="00681CD4">
      <w:pPr>
        <w:spacing w:after="0" w:line="240" w:lineRule="auto"/>
        <w:jc w:val="both"/>
        <w:rPr>
          <w:rFonts w:eastAsia="Times New Roman" w:cs="Arial"/>
          <w:lang w:eastAsia="en-GB"/>
        </w:rPr>
      </w:pPr>
    </w:p>
    <w:p w:rsidR="00C90368" w:rsidRDefault="00C90368" w:rsidP="00681CD4">
      <w:pPr>
        <w:numPr>
          <w:ilvl w:val="0"/>
          <w:numId w:val="11"/>
        </w:numPr>
        <w:spacing w:after="0" w:line="240" w:lineRule="auto"/>
        <w:jc w:val="both"/>
        <w:rPr>
          <w:rFonts w:eastAsia="Times New Roman" w:cs="Arial"/>
          <w:lang w:eastAsia="en-GB"/>
        </w:rPr>
      </w:pPr>
      <w:r w:rsidRPr="000F4604">
        <w:rPr>
          <w:rFonts w:eastAsia="Times New Roman" w:cs="Arial"/>
          <w:lang w:eastAsia="en-GB"/>
        </w:rPr>
        <w:t>Rais</w:t>
      </w:r>
      <w:r w:rsidR="000B3477" w:rsidRPr="000F4604">
        <w:rPr>
          <w:rFonts w:eastAsia="Times New Roman" w:cs="Arial"/>
          <w:lang w:eastAsia="en-GB"/>
        </w:rPr>
        <w:t>ing</w:t>
      </w:r>
      <w:r w:rsidRPr="000F4604">
        <w:rPr>
          <w:rFonts w:eastAsia="Times New Roman" w:cs="Arial"/>
          <w:lang w:eastAsia="en-GB"/>
        </w:rPr>
        <w:t xml:space="preserve"> the profile of EDI developm</w:t>
      </w:r>
      <w:r w:rsidR="0088642E" w:rsidRPr="000F4604">
        <w:rPr>
          <w:rFonts w:eastAsia="Times New Roman" w:cs="Arial"/>
          <w:lang w:eastAsia="en-GB"/>
        </w:rPr>
        <w:t>ents and activities across all C</w:t>
      </w:r>
      <w:r w:rsidRPr="000F4604">
        <w:rPr>
          <w:rFonts w:eastAsia="Times New Roman" w:cs="Arial"/>
          <w:lang w:eastAsia="en-GB"/>
        </w:rPr>
        <w:t>ollege areas to encourage discussion and participation in EDI related topics.</w:t>
      </w:r>
    </w:p>
    <w:p w:rsidR="004420D5" w:rsidRPr="000F4604" w:rsidRDefault="004420D5" w:rsidP="004420D5">
      <w:pPr>
        <w:spacing w:after="0" w:line="240" w:lineRule="auto"/>
        <w:ind w:left="720"/>
        <w:jc w:val="both"/>
        <w:rPr>
          <w:rFonts w:eastAsia="Times New Roman" w:cs="Arial"/>
          <w:lang w:eastAsia="en-GB"/>
        </w:rPr>
      </w:pPr>
    </w:p>
    <w:p w:rsidR="00C90368" w:rsidRDefault="00C90368" w:rsidP="00681CD4">
      <w:pPr>
        <w:numPr>
          <w:ilvl w:val="0"/>
          <w:numId w:val="11"/>
        </w:numPr>
        <w:spacing w:after="0" w:line="240" w:lineRule="auto"/>
        <w:jc w:val="both"/>
        <w:rPr>
          <w:rFonts w:eastAsia="Times New Roman" w:cs="Arial"/>
          <w:lang w:eastAsia="en-GB"/>
        </w:rPr>
      </w:pPr>
      <w:r w:rsidRPr="000F4604">
        <w:rPr>
          <w:rFonts w:eastAsia="Times New Roman" w:cs="Arial"/>
          <w:lang w:eastAsia="en-GB"/>
        </w:rPr>
        <w:t>Develop</w:t>
      </w:r>
      <w:r w:rsidR="000B3477" w:rsidRPr="000F4604">
        <w:rPr>
          <w:rFonts w:eastAsia="Times New Roman" w:cs="Arial"/>
          <w:lang w:eastAsia="en-GB"/>
        </w:rPr>
        <w:t>ing</w:t>
      </w:r>
      <w:r w:rsidRPr="000F4604">
        <w:rPr>
          <w:rFonts w:eastAsia="Times New Roman" w:cs="Arial"/>
          <w:lang w:eastAsia="en-GB"/>
        </w:rPr>
        <w:t xml:space="preserve"> teaching resources </w:t>
      </w:r>
      <w:r w:rsidR="000B3477" w:rsidRPr="000F4604">
        <w:rPr>
          <w:rFonts w:eastAsia="Times New Roman" w:cs="Arial"/>
          <w:lang w:eastAsia="en-GB"/>
        </w:rPr>
        <w:t>to</w:t>
      </w:r>
      <w:r w:rsidRPr="000F4604">
        <w:rPr>
          <w:rFonts w:eastAsia="Times New Roman" w:cs="Arial"/>
          <w:lang w:eastAsia="en-GB"/>
        </w:rPr>
        <w:t xml:space="preserve"> embed EDI into </w:t>
      </w:r>
      <w:r w:rsidR="000B3477" w:rsidRPr="000F4604">
        <w:rPr>
          <w:rFonts w:eastAsia="Times New Roman" w:cs="Arial"/>
          <w:lang w:eastAsia="en-GB"/>
        </w:rPr>
        <w:t xml:space="preserve">the </w:t>
      </w:r>
      <w:r w:rsidRPr="000F4604">
        <w:rPr>
          <w:rFonts w:eastAsia="Times New Roman" w:cs="Arial"/>
          <w:lang w:eastAsia="en-GB"/>
        </w:rPr>
        <w:t>curriculum.</w:t>
      </w:r>
    </w:p>
    <w:p w:rsidR="004420D5" w:rsidRDefault="004420D5" w:rsidP="004420D5">
      <w:pPr>
        <w:pStyle w:val="ListParagraph"/>
        <w:rPr>
          <w:rFonts w:eastAsia="Times New Roman" w:cs="Arial"/>
          <w:lang w:eastAsia="en-GB"/>
        </w:rPr>
      </w:pPr>
    </w:p>
    <w:p w:rsidR="00C90368" w:rsidRPr="000F4604" w:rsidRDefault="00C90368" w:rsidP="00681CD4">
      <w:pPr>
        <w:numPr>
          <w:ilvl w:val="0"/>
          <w:numId w:val="11"/>
        </w:numPr>
        <w:spacing w:after="0" w:line="240" w:lineRule="auto"/>
        <w:jc w:val="both"/>
        <w:rPr>
          <w:rFonts w:eastAsia="Times New Roman" w:cs="Arial"/>
          <w:lang w:eastAsia="en-GB"/>
        </w:rPr>
      </w:pPr>
      <w:r w:rsidRPr="000F4604">
        <w:rPr>
          <w:rFonts w:eastAsia="Times New Roman" w:cs="Arial"/>
          <w:lang w:eastAsia="en-GB"/>
        </w:rPr>
        <w:t>Engag</w:t>
      </w:r>
      <w:r w:rsidR="000B3477" w:rsidRPr="000F4604">
        <w:rPr>
          <w:rFonts w:eastAsia="Times New Roman" w:cs="Arial"/>
          <w:lang w:eastAsia="en-GB"/>
        </w:rPr>
        <w:t>ing</w:t>
      </w:r>
      <w:r w:rsidRPr="000F4604">
        <w:rPr>
          <w:rFonts w:eastAsia="Times New Roman" w:cs="Arial"/>
          <w:lang w:eastAsia="en-GB"/>
        </w:rPr>
        <w:t xml:space="preserve"> staff and learners in EDI activities.</w:t>
      </w:r>
    </w:p>
    <w:p w:rsidR="00C90368" w:rsidRDefault="00C90368" w:rsidP="00681CD4">
      <w:pPr>
        <w:numPr>
          <w:ilvl w:val="0"/>
          <w:numId w:val="11"/>
        </w:numPr>
        <w:spacing w:after="0" w:line="240" w:lineRule="auto"/>
        <w:jc w:val="both"/>
        <w:rPr>
          <w:rFonts w:eastAsia="Times New Roman" w:cs="Arial"/>
          <w:lang w:eastAsia="en-GB"/>
        </w:rPr>
      </w:pPr>
      <w:r w:rsidRPr="000F4604">
        <w:rPr>
          <w:rFonts w:eastAsia="Times New Roman" w:cs="Arial"/>
          <w:lang w:eastAsia="en-GB"/>
        </w:rPr>
        <w:lastRenderedPageBreak/>
        <w:t>Target setting and monitoring of EDI data</w:t>
      </w:r>
      <w:r w:rsidR="000B3477" w:rsidRPr="000F4604">
        <w:rPr>
          <w:rFonts w:eastAsia="Times New Roman" w:cs="Arial"/>
          <w:lang w:eastAsia="en-GB"/>
        </w:rPr>
        <w:t>, with subsequent action plans,</w:t>
      </w:r>
      <w:r w:rsidRPr="000F4604">
        <w:rPr>
          <w:rFonts w:eastAsia="Times New Roman" w:cs="Arial"/>
          <w:lang w:eastAsia="en-GB"/>
        </w:rPr>
        <w:t xml:space="preserve"> to ensure individual needs are met and achievement gaps are narrowed.</w:t>
      </w:r>
    </w:p>
    <w:p w:rsidR="004420D5" w:rsidRDefault="004420D5" w:rsidP="004420D5">
      <w:pPr>
        <w:spacing w:after="0" w:line="240" w:lineRule="auto"/>
        <w:ind w:left="720"/>
        <w:jc w:val="both"/>
        <w:rPr>
          <w:rFonts w:eastAsia="Times New Roman" w:cs="Arial"/>
          <w:lang w:eastAsia="en-GB"/>
        </w:rPr>
      </w:pPr>
    </w:p>
    <w:p w:rsidR="00C90368" w:rsidRPr="000F4604" w:rsidRDefault="00C90368" w:rsidP="00681CD4">
      <w:pPr>
        <w:numPr>
          <w:ilvl w:val="0"/>
          <w:numId w:val="12"/>
        </w:numPr>
        <w:spacing w:after="0" w:line="240" w:lineRule="auto"/>
        <w:jc w:val="both"/>
        <w:rPr>
          <w:rFonts w:eastAsia="Times New Roman" w:cs="Arial"/>
          <w:lang w:eastAsia="en-GB"/>
        </w:rPr>
      </w:pPr>
      <w:r w:rsidRPr="000F4604">
        <w:rPr>
          <w:rFonts w:eastAsia="Times New Roman" w:cs="Arial"/>
          <w:lang w:eastAsia="en-GB"/>
        </w:rPr>
        <w:t>Identify</w:t>
      </w:r>
      <w:r w:rsidR="00740859">
        <w:rPr>
          <w:rFonts w:eastAsia="Times New Roman" w:cs="Arial"/>
          <w:lang w:eastAsia="en-GB"/>
        </w:rPr>
        <w:t>ing</w:t>
      </w:r>
      <w:r w:rsidRPr="000F4604">
        <w:rPr>
          <w:rFonts w:eastAsia="Times New Roman" w:cs="Arial"/>
          <w:lang w:eastAsia="en-GB"/>
        </w:rPr>
        <w:t xml:space="preserve"> achievement issues for learners at school</w:t>
      </w:r>
      <w:r w:rsidR="000B3477" w:rsidRPr="000F4604">
        <w:rPr>
          <w:rFonts w:eastAsia="Times New Roman" w:cs="Arial"/>
          <w:lang w:eastAsia="en-GB"/>
        </w:rPr>
        <w:t>/sub-school</w:t>
      </w:r>
      <w:r w:rsidRPr="000F4604">
        <w:rPr>
          <w:rFonts w:eastAsia="Times New Roman" w:cs="Arial"/>
          <w:lang w:eastAsia="en-GB"/>
        </w:rPr>
        <w:t xml:space="preserve"> level and set</w:t>
      </w:r>
      <w:r w:rsidR="00740859">
        <w:rPr>
          <w:rFonts w:eastAsia="Times New Roman" w:cs="Arial"/>
          <w:lang w:eastAsia="en-GB"/>
        </w:rPr>
        <w:t>ting</w:t>
      </w:r>
      <w:r w:rsidRPr="000F4604">
        <w:rPr>
          <w:rFonts w:eastAsia="Times New Roman" w:cs="Arial"/>
          <w:lang w:eastAsia="en-GB"/>
        </w:rPr>
        <w:t xml:space="preserve"> targets</w:t>
      </w:r>
      <w:r w:rsidR="000B3477" w:rsidRPr="000F4604">
        <w:rPr>
          <w:rFonts w:eastAsia="Times New Roman" w:cs="Arial"/>
          <w:lang w:eastAsia="en-GB"/>
        </w:rPr>
        <w:t>/strategies</w:t>
      </w:r>
      <w:r w:rsidRPr="000F4604">
        <w:rPr>
          <w:rFonts w:eastAsia="Times New Roman" w:cs="Arial"/>
          <w:lang w:eastAsia="en-GB"/>
        </w:rPr>
        <w:t xml:space="preserve"> to narrow achievement gaps.</w:t>
      </w:r>
    </w:p>
    <w:p w:rsidR="00C90368" w:rsidRPr="000F4604" w:rsidRDefault="00C90368" w:rsidP="00681CD4">
      <w:pPr>
        <w:spacing w:after="0" w:line="240" w:lineRule="auto"/>
        <w:ind w:left="1440"/>
        <w:jc w:val="both"/>
        <w:rPr>
          <w:rFonts w:eastAsia="Times New Roman" w:cs="Arial"/>
          <w:lang w:eastAsia="en-GB"/>
        </w:rPr>
      </w:pPr>
    </w:p>
    <w:p w:rsidR="00C90368" w:rsidRPr="00740859" w:rsidRDefault="00C90368" w:rsidP="00740859">
      <w:pPr>
        <w:pStyle w:val="ListParagraph"/>
        <w:numPr>
          <w:ilvl w:val="0"/>
          <w:numId w:val="33"/>
        </w:numPr>
        <w:spacing w:after="0" w:line="240" w:lineRule="auto"/>
        <w:jc w:val="both"/>
        <w:rPr>
          <w:rFonts w:ascii="Arial" w:eastAsia="Times New Roman" w:hAnsi="Arial" w:cs="Arial"/>
          <w:lang w:eastAsia="en-GB"/>
        </w:rPr>
      </w:pPr>
      <w:r w:rsidRPr="00740859">
        <w:rPr>
          <w:rFonts w:ascii="Arial" w:eastAsia="Times New Roman" w:hAnsi="Arial" w:cs="Arial"/>
          <w:lang w:eastAsia="en-GB"/>
        </w:rPr>
        <w:t>De</w:t>
      </w:r>
      <w:r w:rsidR="0088642E" w:rsidRPr="00740859">
        <w:rPr>
          <w:rFonts w:ascii="Arial" w:eastAsia="Times New Roman" w:hAnsi="Arial" w:cs="Arial"/>
          <w:lang w:eastAsia="en-GB"/>
        </w:rPr>
        <w:t xml:space="preserve">liver EDI </w:t>
      </w:r>
      <w:r w:rsidR="005E3739" w:rsidRPr="00740859">
        <w:rPr>
          <w:rFonts w:ascii="Arial" w:eastAsia="Times New Roman" w:hAnsi="Arial" w:cs="Arial"/>
          <w:lang w:eastAsia="en-GB"/>
        </w:rPr>
        <w:t>t</w:t>
      </w:r>
      <w:r w:rsidR="0088642E" w:rsidRPr="00740859">
        <w:rPr>
          <w:rFonts w:ascii="Arial" w:eastAsia="Times New Roman" w:hAnsi="Arial" w:cs="Arial"/>
          <w:lang w:eastAsia="en-GB"/>
        </w:rPr>
        <w:t>raining to all staff:</w:t>
      </w:r>
    </w:p>
    <w:p w:rsidR="0088642E" w:rsidRPr="000F4604" w:rsidRDefault="0088642E" w:rsidP="00681CD4">
      <w:pPr>
        <w:spacing w:after="0" w:line="240" w:lineRule="auto"/>
        <w:jc w:val="both"/>
        <w:rPr>
          <w:rFonts w:eastAsia="Times New Roman" w:cs="Arial"/>
          <w:lang w:eastAsia="en-GB"/>
        </w:rPr>
      </w:pPr>
    </w:p>
    <w:p w:rsidR="00C90368" w:rsidRDefault="00C90368" w:rsidP="00681CD4">
      <w:pPr>
        <w:pStyle w:val="ListParagraph"/>
        <w:numPr>
          <w:ilvl w:val="0"/>
          <w:numId w:val="13"/>
        </w:numPr>
        <w:spacing w:after="0" w:line="240" w:lineRule="auto"/>
        <w:jc w:val="both"/>
        <w:rPr>
          <w:rFonts w:ascii="Arial" w:eastAsia="Times New Roman" w:hAnsi="Arial" w:cs="Arial"/>
          <w:lang w:eastAsia="en-GB"/>
        </w:rPr>
      </w:pPr>
      <w:r w:rsidRPr="000F4604">
        <w:rPr>
          <w:rFonts w:ascii="Arial" w:eastAsia="Times New Roman" w:hAnsi="Arial" w:cs="Arial"/>
          <w:lang w:eastAsia="en-GB"/>
        </w:rPr>
        <w:t xml:space="preserve">Develop a range of training resources and materials to update the understanding of EDI concepts for </w:t>
      </w:r>
      <w:r w:rsidR="000B3477" w:rsidRPr="000F4604">
        <w:rPr>
          <w:rFonts w:ascii="Arial" w:eastAsia="Times New Roman" w:hAnsi="Arial" w:cs="Arial"/>
          <w:lang w:eastAsia="en-GB"/>
        </w:rPr>
        <w:t>all</w:t>
      </w:r>
      <w:r w:rsidRPr="000F4604">
        <w:rPr>
          <w:rFonts w:ascii="Arial" w:eastAsia="Times New Roman" w:hAnsi="Arial" w:cs="Arial"/>
          <w:lang w:eastAsia="en-GB"/>
        </w:rPr>
        <w:t xml:space="preserve"> staff.</w:t>
      </w:r>
    </w:p>
    <w:p w:rsidR="004420D5" w:rsidRDefault="004420D5" w:rsidP="004420D5">
      <w:pPr>
        <w:pStyle w:val="ListParagraph"/>
        <w:spacing w:after="0" w:line="240" w:lineRule="auto"/>
        <w:jc w:val="both"/>
        <w:rPr>
          <w:rFonts w:ascii="Arial" w:eastAsia="Times New Roman" w:hAnsi="Arial" w:cs="Arial"/>
          <w:lang w:eastAsia="en-GB"/>
        </w:rPr>
      </w:pPr>
    </w:p>
    <w:p w:rsidR="00C90368" w:rsidRPr="000F4604" w:rsidRDefault="00C90368" w:rsidP="00681CD4">
      <w:pPr>
        <w:pStyle w:val="ListParagraph"/>
        <w:numPr>
          <w:ilvl w:val="0"/>
          <w:numId w:val="13"/>
        </w:numPr>
        <w:spacing w:after="0" w:line="240" w:lineRule="auto"/>
        <w:jc w:val="both"/>
        <w:rPr>
          <w:rFonts w:ascii="Arial" w:eastAsia="Times New Roman" w:hAnsi="Arial" w:cs="Arial"/>
          <w:lang w:eastAsia="en-GB"/>
        </w:rPr>
      </w:pPr>
      <w:r w:rsidRPr="000F4604">
        <w:rPr>
          <w:rFonts w:ascii="Arial" w:eastAsia="Times New Roman" w:hAnsi="Arial" w:cs="Arial"/>
          <w:lang w:eastAsia="en-GB"/>
        </w:rPr>
        <w:t xml:space="preserve">Ensure </w:t>
      </w:r>
      <w:r w:rsidR="0020591E" w:rsidRPr="000F4604">
        <w:rPr>
          <w:rFonts w:ascii="Arial" w:eastAsia="Times New Roman" w:hAnsi="Arial" w:cs="Arial"/>
          <w:lang w:eastAsia="en-GB"/>
        </w:rPr>
        <w:t>all</w:t>
      </w:r>
      <w:r w:rsidRPr="000F4604">
        <w:rPr>
          <w:rFonts w:ascii="Arial" w:eastAsia="Times New Roman" w:hAnsi="Arial" w:cs="Arial"/>
          <w:lang w:eastAsia="en-GB"/>
        </w:rPr>
        <w:t xml:space="preserve"> staff understand their own</w:t>
      </w:r>
      <w:r w:rsidR="00E5013F" w:rsidRPr="000F4604">
        <w:rPr>
          <w:rFonts w:ascii="Arial" w:eastAsia="Times New Roman" w:hAnsi="Arial" w:cs="Arial"/>
          <w:lang w:eastAsia="en-GB"/>
        </w:rPr>
        <w:t>,</w:t>
      </w:r>
      <w:r w:rsidR="0088642E" w:rsidRPr="000F4604">
        <w:rPr>
          <w:rFonts w:ascii="Arial" w:eastAsia="Times New Roman" w:hAnsi="Arial" w:cs="Arial"/>
          <w:lang w:eastAsia="en-GB"/>
        </w:rPr>
        <w:t xml:space="preserve"> and the Co</w:t>
      </w:r>
      <w:r w:rsidRPr="000F4604">
        <w:rPr>
          <w:rFonts w:ascii="Arial" w:eastAsia="Times New Roman" w:hAnsi="Arial" w:cs="Arial"/>
          <w:lang w:eastAsia="en-GB"/>
        </w:rPr>
        <w:t>llege’s legislative</w:t>
      </w:r>
      <w:r w:rsidR="00E5013F" w:rsidRPr="000F4604">
        <w:rPr>
          <w:rFonts w:ascii="Arial" w:eastAsia="Times New Roman" w:hAnsi="Arial" w:cs="Arial"/>
          <w:lang w:eastAsia="en-GB"/>
        </w:rPr>
        <w:t>,</w:t>
      </w:r>
      <w:r w:rsidRPr="000F4604">
        <w:rPr>
          <w:rFonts w:ascii="Arial" w:eastAsia="Times New Roman" w:hAnsi="Arial" w:cs="Arial"/>
          <w:lang w:eastAsia="en-GB"/>
        </w:rPr>
        <w:t xml:space="preserve"> duties.</w:t>
      </w:r>
    </w:p>
    <w:p w:rsidR="00C90368" w:rsidRPr="000F4604" w:rsidRDefault="00C90368" w:rsidP="00681CD4">
      <w:pPr>
        <w:spacing w:after="0" w:line="240" w:lineRule="auto"/>
        <w:jc w:val="both"/>
        <w:rPr>
          <w:rFonts w:eastAsia="Times New Roman" w:cs="Arial"/>
          <w:lang w:eastAsia="en-GB"/>
        </w:rPr>
      </w:pPr>
    </w:p>
    <w:p w:rsidR="000D10A0" w:rsidRPr="000F4604" w:rsidRDefault="00DE4036" w:rsidP="00681CD4">
      <w:pPr>
        <w:spacing w:after="0" w:line="240" w:lineRule="auto"/>
        <w:jc w:val="both"/>
        <w:rPr>
          <w:rFonts w:eastAsia="Times New Roman" w:cs="Arial"/>
          <w:lang w:eastAsia="en-GB"/>
        </w:rPr>
      </w:pPr>
      <w:r w:rsidRPr="000F4604">
        <w:rPr>
          <w:rFonts w:eastAsia="Times New Roman" w:cs="Arial"/>
          <w:lang w:eastAsia="en-GB"/>
        </w:rPr>
        <w:t xml:space="preserve">The </w:t>
      </w:r>
      <w:r w:rsidR="000D10A0" w:rsidRPr="000F4604">
        <w:rPr>
          <w:rFonts w:eastAsia="Times New Roman" w:cs="Arial"/>
          <w:lang w:eastAsia="en-GB"/>
        </w:rPr>
        <w:t xml:space="preserve">EDI </w:t>
      </w:r>
      <w:r w:rsidR="00740859">
        <w:rPr>
          <w:rFonts w:eastAsia="Times New Roman" w:cs="Arial"/>
          <w:lang w:eastAsia="en-GB"/>
        </w:rPr>
        <w:t>t</w:t>
      </w:r>
      <w:r w:rsidR="000D10A0" w:rsidRPr="000F4604">
        <w:rPr>
          <w:rFonts w:eastAsia="Times New Roman" w:cs="Arial"/>
          <w:lang w:eastAsia="en-GB"/>
        </w:rPr>
        <w:t xml:space="preserve">eam and EDI </w:t>
      </w:r>
      <w:r w:rsidR="000B3477" w:rsidRPr="000F4604">
        <w:rPr>
          <w:rFonts w:eastAsia="Times New Roman" w:cs="Arial"/>
          <w:lang w:eastAsia="en-GB"/>
        </w:rPr>
        <w:t>Group</w:t>
      </w:r>
      <w:r w:rsidR="000D10A0" w:rsidRPr="000F4604">
        <w:rPr>
          <w:rFonts w:eastAsia="Times New Roman" w:cs="Arial"/>
          <w:lang w:eastAsia="en-GB"/>
        </w:rPr>
        <w:t xml:space="preserve"> led on achieving these objectives through regular monitoring of targets set in the College EDI Action Plan and EDI </w:t>
      </w:r>
      <w:r w:rsidR="004420D5">
        <w:rPr>
          <w:rFonts w:eastAsia="Times New Roman" w:cs="Arial"/>
          <w:lang w:eastAsia="en-GB"/>
        </w:rPr>
        <w:t>Development Plan</w:t>
      </w:r>
      <w:r w:rsidR="000D10A0" w:rsidRPr="000F4604">
        <w:rPr>
          <w:rFonts w:eastAsia="Times New Roman" w:cs="Arial"/>
          <w:lang w:eastAsia="en-GB"/>
        </w:rPr>
        <w:t>.</w:t>
      </w:r>
    </w:p>
    <w:p w:rsidR="00E57CD7" w:rsidRDefault="00E57CD7" w:rsidP="00681CD4">
      <w:pPr>
        <w:spacing w:after="0" w:line="240" w:lineRule="auto"/>
        <w:jc w:val="both"/>
        <w:rPr>
          <w:rFonts w:cs="Arial"/>
          <w:b/>
        </w:rPr>
      </w:pPr>
    </w:p>
    <w:p w:rsidR="007C13E6" w:rsidRDefault="007C13E6" w:rsidP="00681CD4">
      <w:pPr>
        <w:spacing w:after="0" w:line="240" w:lineRule="auto"/>
        <w:jc w:val="both"/>
        <w:rPr>
          <w:rFonts w:cs="Arial"/>
          <w:b/>
        </w:rPr>
      </w:pPr>
    </w:p>
    <w:p w:rsidR="009E41AE" w:rsidRPr="000F4604" w:rsidRDefault="001B4485" w:rsidP="00681CD4">
      <w:pPr>
        <w:spacing w:after="0" w:line="240" w:lineRule="auto"/>
        <w:jc w:val="both"/>
        <w:rPr>
          <w:rFonts w:cs="Arial"/>
          <w:b/>
        </w:rPr>
      </w:pPr>
      <w:r w:rsidRPr="000F4604">
        <w:rPr>
          <w:rFonts w:cs="Arial"/>
          <w:b/>
        </w:rPr>
        <w:t>5</w:t>
      </w:r>
      <w:r w:rsidR="009E41AE" w:rsidRPr="000F4604">
        <w:rPr>
          <w:rFonts w:cs="Arial"/>
          <w:b/>
        </w:rPr>
        <w:t xml:space="preserve">. </w:t>
      </w:r>
      <w:r w:rsidR="0088642E" w:rsidRPr="000F4604">
        <w:rPr>
          <w:rFonts w:cs="Arial"/>
          <w:b/>
        </w:rPr>
        <w:t xml:space="preserve">Performance </w:t>
      </w:r>
      <w:r w:rsidR="00350AF5">
        <w:rPr>
          <w:rFonts w:cs="Arial"/>
          <w:b/>
        </w:rPr>
        <w:t>a</w:t>
      </w:r>
      <w:r w:rsidR="009E41AE" w:rsidRPr="000F4604">
        <w:rPr>
          <w:rFonts w:cs="Arial"/>
          <w:b/>
        </w:rPr>
        <w:t xml:space="preserve">gainst the </w:t>
      </w:r>
      <w:r w:rsidR="0088642E" w:rsidRPr="000F4604">
        <w:rPr>
          <w:rFonts w:cs="Arial"/>
          <w:b/>
        </w:rPr>
        <w:t>E</w:t>
      </w:r>
      <w:r w:rsidR="009E41AE" w:rsidRPr="000F4604">
        <w:rPr>
          <w:rFonts w:cs="Arial"/>
          <w:b/>
        </w:rPr>
        <w:t xml:space="preserve">quality </w:t>
      </w:r>
      <w:r w:rsidR="0088642E" w:rsidRPr="000F4604">
        <w:rPr>
          <w:rFonts w:cs="Arial"/>
          <w:b/>
        </w:rPr>
        <w:t>O</w:t>
      </w:r>
      <w:r w:rsidR="009E41AE" w:rsidRPr="000F4604">
        <w:rPr>
          <w:rFonts w:cs="Arial"/>
          <w:b/>
        </w:rPr>
        <w:t>bjectives</w:t>
      </w:r>
      <w:r w:rsidR="00350AF5">
        <w:rPr>
          <w:rFonts w:cs="Arial"/>
          <w:b/>
        </w:rPr>
        <w:t xml:space="preserve"> in 2015</w:t>
      </w:r>
    </w:p>
    <w:p w:rsidR="009E41AE" w:rsidRPr="000F4604" w:rsidRDefault="009E41AE" w:rsidP="00681CD4">
      <w:pPr>
        <w:spacing w:after="0" w:line="240" w:lineRule="auto"/>
        <w:jc w:val="both"/>
        <w:rPr>
          <w:rFonts w:cs="Arial"/>
        </w:rPr>
      </w:pPr>
      <w:r w:rsidRPr="000F4604">
        <w:rPr>
          <w:rFonts w:cs="Arial"/>
        </w:rPr>
        <w:t xml:space="preserve">The objectives </w:t>
      </w:r>
      <w:r w:rsidR="00D61FA9" w:rsidRPr="000F4604">
        <w:rPr>
          <w:rFonts w:cs="Arial"/>
        </w:rPr>
        <w:t>were</w:t>
      </w:r>
      <w:r w:rsidRPr="000F4604">
        <w:rPr>
          <w:rFonts w:cs="Arial"/>
        </w:rPr>
        <w:t xml:space="preserve"> met</w:t>
      </w:r>
      <w:r w:rsidR="004420D5">
        <w:rPr>
          <w:rFonts w:cs="Arial"/>
        </w:rPr>
        <w:t xml:space="preserve"> last year</w:t>
      </w:r>
      <w:r w:rsidR="006C3521" w:rsidRPr="000F4604">
        <w:rPr>
          <w:rFonts w:cs="Arial"/>
        </w:rPr>
        <w:t>. T</w:t>
      </w:r>
      <w:r w:rsidRPr="000F4604">
        <w:rPr>
          <w:rFonts w:cs="Arial"/>
        </w:rPr>
        <w:t xml:space="preserve">he following summary highlights the activities </w:t>
      </w:r>
      <w:r w:rsidR="008D5EA4" w:rsidRPr="000F4604">
        <w:rPr>
          <w:rFonts w:cs="Arial"/>
        </w:rPr>
        <w:t>which have contributed to achiev</w:t>
      </w:r>
      <w:r w:rsidR="00350AF5">
        <w:rPr>
          <w:rFonts w:cs="Arial"/>
        </w:rPr>
        <w:t>ing</w:t>
      </w:r>
      <w:r w:rsidR="008D5EA4" w:rsidRPr="000F4604">
        <w:rPr>
          <w:rFonts w:cs="Arial"/>
        </w:rPr>
        <w:t xml:space="preserve"> these objectives</w:t>
      </w:r>
      <w:r w:rsidR="00FA35D8" w:rsidRPr="000F4604">
        <w:rPr>
          <w:rFonts w:cs="Arial"/>
        </w:rPr>
        <w:t>.</w:t>
      </w:r>
    </w:p>
    <w:p w:rsidR="001D4FA1" w:rsidRPr="000F4604" w:rsidRDefault="001D4FA1" w:rsidP="00681CD4">
      <w:pPr>
        <w:spacing w:after="0" w:line="240" w:lineRule="auto"/>
        <w:rPr>
          <w:rFonts w:cs="Arial"/>
        </w:rPr>
      </w:pPr>
    </w:p>
    <w:p w:rsidR="001D4FA1" w:rsidRDefault="001D4FA1" w:rsidP="00681CD4">
      <w:pPr>
        <w:pStyle w:val="ListParagraph"/>
        <w:numPr>
          <w:ilvl w:val="0"/>
          <w:numId w:val="16"/>
        </w:numPr>
        <w:spacing w:after="0" w:line="240" w:lineRule="auto"/>
        <w:jc w:val="both"/>
        <w:rPr>
          <w:rFonts w:ascii="Arial" w:hAnsi="Arial" w:cs="Arial"/>
          <w:color w:val="000000" w:themeColor="text1"/>
        </w:rPr>
      </w:pPr>
      <w:r w:rsidRPr="000F4604">
        <w:rPr>
          <w:rFonts w:ascii="Arial" w:hAnsi="Arial" w:cs="Arial"/>
        </w:rPr>
        <w:t xml:space="preserve">Effective analysis of </w:t>
      </w:r>
      <w:r w:rsidRPr="000F4604">
        <w:rPr>
          <w:rFonts w:ascii="Arial" w:hAnsi="Arial" w:cs="Arial"/>
          <w:color w:val="000000" w:themeColor="text1"/>
        </w:rPr>
        <w:t xml:space="preserve">student data </w:t>
      </w:r>
      <w:r w:rsidRPr="000F4604">
        <w:rPr>
          <w:rFonts w:ascii="Arial" w:hAnsi="Arial" w:cs="Arial"/>
        </w:rPr>
        <w:t xml:space="preserve">has enabled EDI </w:t>
      </w:r>
      <w:r w:rsidRPr="000F4604">
        <w:rPr>
          <w:rFonts w:ascii="Arial" w:hAnsi="Arial" w:cs="Arial"/>
          <w:color w:val="000000" w:themeColor="text1"/>
        </w:rPr>
        <w:t xml:space="preserve">Student Success Rates </w:t>
      </w:r>
      <w:r w:rsidR="005E3739" w:rsidRPr="000F4604">
        <w:rPr>
          <w:rFonts w:ascii="Arial" w:hAnsi="Arial" w:cs="Arial"/>
          <w:color w:val="000000" w:themeColor="text1"/>
        </w:rPr>
        <w:t>(</w:t>
      </w:r>
      <w:r w:rsidRPr="000F4604">
        <w:rPr>
          <w:rFonts w:ascii="Arial" w:hAnsi="Arial" w:cs="Arial"/>
        </w:rPr>
        <w:t>SSR</w:t>
      </w:r>
      <w:r w:rsidR="005E3739" w:rsidRPr="000F4604">
        <w:rPr>
          <w:rFonts w:ascii="Arial" w:hAnsi="Arial" w:cs="Arial"/>
        </w:rPr>
        <w:t>)</w:t>
      </w:r>
      <w:r w:rsidRPr="000F4604">
        <w:rPr>
          <w:rFonts w:ascii="Arial" w:hAnsi="Arial" w:cs="Arial"/>
        </w:rPr>
        <w:t xml:space="preserve"> trends and concerns to be </w:t>
      </w:r>
      <w:r w:rsidR="0089680B" w:rsidRPr="000F4604">
        <w:rPr>
          <w:rFonts w:ascii="Arial" w:hAnsi="Arial" w:cs="Arial"/>
        </w:rPr>
        <w:t>identified</w:t>
      </w:r>
      <w:r w:rsidR="00862063" w:rsidRPr="000F4604">
        <w:rPr>
          <w:rFonts w:ascii="Arial" w:hAnsi="Arial" w:cs="Arial"/>
        </w:rPr>
        <w:t>,</w:t>
      </w:r>
      <w:r w:rsidRPr="000F4604">
        <w:rPr>
          <w:rFonts w:ascii="Arial" w:hAnsi="Arial" w:cs="Arial"/>
        </w:rPr>
        <w:t xml:space="preserve"> followed up</w:t>
      </w:r>
      <w:r w:rsidR="00862063" w:rsidRPr="000F4604">
        <w:rPr>
          <w:rFonts w:ascii="Arial" w:hAnsi="Arial" w:cs="Arial"/>
        </w:rPr>
        <w:t>,</w:t>
      </w:r>
      <w:r w:rsidRPr="000F4604">
        <w:rPr>
          <w:rFonts w:ascii="Arial" w:hAnsi="Arial" w:cs="Arial"/>
        </w:rPr>
        <w:t xml:space="preserve"> and actions put in place to drive improvement. </w:t>
      </w:r>
      <w:r w:rsidRPr="000F4604">
        <w:rPr>
          <w:rFonts w:ascii="Arial" w:hAnsi="Arial" w:cs="Arial"/>
          <w:color w:val="000000" w:themeColor="text1"/>
        </w:rPr>
        <w:t xml:space="preserve">This has contributed towards achievement gaps narrowing or closing. </w:t>
      </w:r>
    </w:p>
    <w:p w:rsidR="00350AF5" w:rsidRPr="000F4604" w:rsidRDefault="00350AF5" w:rsidP="00350AF5">
      <w:pPr>
        <w:pStyle w:val="ListParagraph"/>
        <w:spacing w:after="0" w:line="240" w:lineRule="auto"/>
        <w:jc w:val="both"/>
        <w:rPr>
          <w:rFonts w:ascii="Arial" w:hAnsi="Arial" w:cs="Arial"/>
          <w:color w:val="000000" w:themeColor="text1"/>
        </w:rPr>
      </w:pPr>
    </w:p>
    <w:p w:rsidR="00FA35D8" w:rsidRDefault="00FA35D8" w:rsidP="00681CD4">
      <w:pPr>
        <w:pStyle w:val="ListParagraph"/>
        <w:numPr>
          <w:ilvl w:val="0"/>
          <w:numId w:val="16"/>
        </w:numPr>
        <w:spacing w:after="0" w:line="240" w:lineRule="auto"/>
        <w:rPr>
          <w:rFonts w:ascii="Arial" w:hAnsi="Arial" w:cs="Arial"/>
        </w:rPr>
      </w:pPr>
      <w:r w:rsidRPr="000F4604">
        <w:rPr>
          <w:rFonts w:ascii="Arial" w:hAnsi="Arial" w:cs="Arial"/>
          <w:color w:val="000000" w:themeColor="text1"/>
        </w:rPr>
        <w:t>Effective analysis of academic teams’ Self-Assessment Reports (SARs), equality data, and inspection and observation feedback which identify areas in need of training and support. Areas for development are integrated in department</w:t>
      </w:r>
      <w:r w:rsidR="00350AF5">
        <w:rPr>
          <w:rFonts w:ascii="Arial" w:hAnsi="Arial" w:cs="Arial"/>
          <w:color w:val="000000" w:themeColor="text1"/>
        </w:rPr>
        <w:t>al</w:t>
      </w:r>
      <w:r w:rsidRPr="000F4604">
        <w:rPr>
          <w:rFonts w:ascii="Arial" w:hAnsi="Arial" w:cs="Arial"/>
          <w:color w:val="000000" w:themeColor="text1"/>
        </w:rPr>
        <w:t xml:space="preserve"> action plan</w:t>
      </w:r>
      <w:r w:rsidR="00350AF5">
        <w:rPr>
          <w:rFonts w:ascii="Arial" w:hAnsi="Arial" w:cs="Arial"/>
          <w:color w:val="000000" w:themeColor="text1"/>
        </w:rPr>
        <w:t>s</w:t>
      </w:r>
      <w:r w:rsidRPr="000F4604">
        <w:rPr>
          <w:rFonts w:ascii="Arial" w:hAnsi="Arial" w:cs="Arial"/>
          <w:color w:val="000000" w:themeColor="text1"/>
        </w:rPr>
        <w:t>.</w:t>
      </w:r>
      <w:r w:rsidRPr="000F4604">
        <w:rPr>
          <w:rFonts w:ascii="Arial" w:hAnsi="Arial" w:cs="Arial"/>
        </w:rPr>
        <w:t xml:space="preserve"> </w:t>
      </w:r>
    </w:p>
    <w:p w:rsidR="00350AF5" w:rsidRPr="00350AF5" w:rsidRDefault="00350AF5" w:rsidP="00350AF5">
      <w:pPr>
        <w:pStyle w:val="ListParagraph"/>
        <w:rPr>
          <w:rFonts w:ascii="Arial" w:hAnsi="Arial" w:cs="Arial"/>
        </w:rPr>
      </w:pPr>
    </w:p>
    <w:p w:rsidR="001D4FA1" w:rsidRDefault="001D4FA1" w:rsidP="00681CD4">
      <w:pPr>
        <w:pStyle w:val="ListParagraph"/>
        <w:numPr>
          <w:ilvl w:val="0"/>
          <w:numId w:val="16"/>
        </w:numPr>
        <w:spacing w:after="0" w:line="240" w:lineRule="auto"/>
        <w:jc w:val="both"/>
        <w:rPr>
          <w:rFonts w:ascii="Arial" w:hAnsi="Arial" w:cs="Arial"/>
        </w:rPr>
      </w:pPr>
      <w:r w:rsidRPr="000F4604">
        <w:rPr>
          <w:rFonts w:ascii="Arial" w:hAnsi="Arial" w:cs="Arial"/>
        </w:rPr>
        <w:t xml:space="preserve">The delivery of high quality face to face training to groups of learners and staff, successfully raising </w:t>
      </w:r>
      <w:r w:rsidR="00FA35D8" w:rsidRPr="000F4604">
        <w:rPr>
          <w:rFonts w:ascii="Arial" w:hAnsi="Arial" w:cs="Arial"/>
        </w:rPr>
        <w:t xml:space="preserve">skills </w:t>
      </w:r>
      <w:r w:rsidRPr="000F4604">
        <w:rPr>
          <w:rFonts w:ascii="Arial" w:hAnsi="Arial" w:cs="Arial"/>
        </w:rPr>
        <w:t>and knowledge</w:t>
      </w:r>
      <w:r w:rsidR="00FA35D8" w:rsidRPr="000F4604">
        <w:rPr>
          <w:rFonts w:ascii="Arial" w:hAnsi="Arial" w:cs="Arial"/>
        </w:rPr>
        <w:t xml:space="preserve"> levels</w:t>
      </w:r>
      <w:r w:rsidRPr="000F4604">
        <w:rPr>
          <w:rFonts w:ascii="Arial" w:hAnsi="Arial" w:cs="Arial"/>
        </w:rPr>
        <w:t xml:space="preserve"> </w:t>
      </w:r>
      <w:r w:rsidR="0089680B" w:rsidRPr="000F4604">
        <w:rPr>
          <w:rFonts w:ascii="Arial" w:hAnsi="Arial" w:cs="Arial"/>
        </w:rPr>
        <w:t xml:space="preserve">as evidenced by </w:t>
      </w:r>
      <w:r w:rsidR="00350AF5">
        <w:rPr>
          <w:rFonts w:ascii="Arial" w:hAnsi="Arial" w:cs="Arial"/>
        </w:rPr>
        <w:t xml:space="preserve">the </w:t>
      </w:r>
      <w:r w:rsidR="0089680B" w:rsidRPr="000F4604">
        <w:rPr>
          <w:rFonts w:ascii="Arial" w:hAnsi="Arial" w:cs="Arial"/>
        </w:rPr>
        <w:t xml:space="preserve">positive evaluation of </w:t>
      </w:r>
      <w:r w:rsidRPr="000F4604">
        <w:rPr>
          <w:rFonts w:ascii="Arial" w:hAnsi="Arial" w:cs="Arial"/>
        </w:rPr>
        <w:t xml:space="preserve">training. </w:t>
      </w:r>
    </w:p>
    <w:p w:rsidR="00350AF5" w:rsidRPr="00350AF5" w:rsidRDefault="00350AF5" w:rsidP="00350AF5">
      <w:pPr>
        <w:pStyle w:val="ListParagraph"/>
        <w:rPr>
          <w:rFonts w:ascii="Arial" w:hAnsi="Arial" w:cs="Arial"/>
        </w:rPr>
      </w:pPr>
    </w:p>
    <w:p w:rsidR="00862063" w:rsidRDefault="001D4FA1" w:rsidP="00681CD4">
      <w:pPr>
        <w:pStyle w:val="ListParagraph"/>
        <w:numPr>
          <w:ilvl w:val="0"/>
          <w:numId w:val="16"/>
        </w:numPr>
        <w:spacing w:after="0" w:line="240" w:lineRule="auto"/>
        <w:jc w:val="both"/>
        <w:rPr>
          <w:rFonts w:ascii="Arial" w:hAnsi="Arial" w:cs="Arial"/>
        </w:rPr>
      </w:pPr>
      <w:r w:rsidRPr="000F4604">
        <w:rPr>
          <w:rFonts w:ascii="Arial" w:hAnsi="Arial" w:cs="Arial"/>
        </w:rPr>
        <w:t xml:space="preserve">The delivery of bespoke training to groups of learners has broadened knowledge and extended experience with positive evaluation and feedback. Workshops and tutorials which have been delivered meet the competencies within PD Central (Tutorial) Framework. </w:t>
      </w:r>
    </w:p>
    <w:p w:rsidR="00350AF5" w:rsidRPr="00350AF5" w:rsidRDefault="00350AF5" w:rsidP="00350AF5">
      <w:pPr>
        <w:pStyle w:val="ListParagraph"/>
        <w:rPr>
          <w:rFonts w:ascii="Arial" w:hAnsi="Arial" w:cs="Arial"/>
        </w:rPr>
      </w:pPr>
    </w:p>
    <w:p w:rsidR="001D4FA1" w:rsidRDefault="001D4FA1" w:rsidP="00681CD4">
      <w:pPr>
        <w:pStyle w:val="ListParagraph"/>
        <w:numPr>
          <w:ilvl w:val="0"/>
          <w:numId w:val="16"/>
        </w:numPr>
        <w:spacing w:after="0" w:line="240" w:lineRule="auto"/>
        <w:jc w:val="both"/>
        <w:rPr>
          <w:rFonts w:ascii="Arial" w:hAnsi="Arial" w:cs="Arial"/>
        </w:rPr>
      </w:pPr>
      <w:r w:rsidRPr="000F4604">
        <w:rPr>
          <w:rFonts w:ascii="Arial" w:hAnsi="Arial" w:cs="Arial"/>
        </w:rPr>
        <w:t xml:space="preserve">Effective support to curriculum teams to engage learners more fully on equality issues, resulting in improved practices in a number of curriculum areas. </w:t>
      </w:r>
      <w:r w:rsidR="00862063" w:rsidRPr="000F4604">
        <w:rPr>
          <w:rFonts w:ascii="Arial" w:hAnsi="Arial" w:cs="Arial"/>
        </w:rPr>
        <w:t>20</w:t>
      </w:r>
      <w:r w:rsidRPr="000F4604">
        <w:rPr>
          <w:rFonts w:ascii="Arial" w:hAnsi="Arial" w:cs="Arial"/>
        </w:rPr>
        <w:t>14-</w:t>
      </w:r>
      <w:r w:rsidR="00862063" w:rsidRPr="000F4604">
        <w:rPr>
          <w:rFonts w:ascii="Arial" w:hAnsi="Arial" w:cs="Arial"/>
        </w:rPr>
        <w:t>20</w:t>
      </w:r>
      <w:r w:rsidRPr="000F4604">
        <w:rPr>
          <w:rFonts w:ascii="Arial" w:hAnsi="Arial" w:cs="Arial"/>
        </w:rPr>
        <w:t>15 saw a large increase in numbers of learners benefiting from EDI sessions (464 learners)</w:t>
      </w:r>
      <w:r w:rsidR="00350AF5">
        <w:rPr>
          <w:rFonts w:ascii="Arial" w:hAnsi="Arial" w:cs="Arial"/>
        </w:rPr>
        <w:t>.</w:t>
      </w:r>
    </w:p>
    <w:p w:rsidR="00350AF5" w:rsidRPr="00350AF5" w:rsidRDefault="00350AF5" w:rsidP="00350AF5">
      <w:pPr>
        <w:pStyle w:val="ListParagraph"/>
        <w:rPr>
          <w:rFonts w:ascii="Arial" w:hAnsi="Arial" w:cs="Arial"/>
        </w:rPr>
      </w:pPr>
    </w:p>
    <w:p w:rsidR="003D61D5" w:rsidRDefault="00862063" w:rsidP="00681CD4">
      <w:pPr>
        <w:pStyle w:val="ListParagraph"/>
        <w:numPr>
          <w:ilvl w:val="0"/>
          <w:numId w:val="16"/>
        </w:numPr>
        <w:spacing w:after="0" w:line="240" w:lineRule="auto"/>
        <w:jc w:val="both"/>
        <w:rPr>
          <w:rFonts w:ascii="Arial" w:hAnsi="Arial" w:cs="Arial"/>
        </w:rPr>
      </w:pPr>
      <w:r w:rsidRPr="000F4604">
        <w:rPr>
          <w:rFonts w:ascii="Arial" w:hAnsi="Arial" w:cs="Arial"/>
        </w:rPr>
        <w:t>The d</w:t>
      </w:r>
      <w:r w:rsidR="003D61D5" w:rsidRPr="000F4604">
        <w:rPr>
          <w:rFonts w:ascii="Arial" w:hAnsi="Arial" w:cs="Arial"/>
        </w:rPr>
        <w:t xml:space="preserve">evelopment and implementation of </w:t>
      </w:r>
      <w:r w:rsidRPr="000F4604">
        <w:rPr>
          <w:rFonts w:ascii="Arial" w:hAnsi="Arial" w:cs="Arial"/>
        </w:rPr>
        <w:t xml:space="preserve">an </w:t>
      </w:r>
      <w:r w:rsidR="003D61D5" w:rsidRPr="000F4604">
        <w:rPr>
          <w:rFonts w:ascii="Arial" w:hAnsi="Arial" w:cs="Arial"/>
        </w:rPr>
        <w:t>EDI Toolkit for curriculum teams</w:t>
      </w:r>
      <w:r w:rsidR="00FA35D8" w:rsidRPr="000F4604">
        <w:rPr>
          <w:rFonts w:ascii="Arial" w:hAnsi="Arial" w:cs="Arial"/>
        </w:rPr>
        <w:t>,</w:t>
      </w:r>
      <w:r w:rsidR="003D61D5" w:rsidRPr="000F4604">
        <w:rPr>
          <w:rFonts w:ascii="Arial" w:hAnsi="Arial" w:cs="Arial"/>
        </w:rPr>
        <w:t xml:space="preserve"> supporting teaching and </w:t>
      </w:r>
      <w:r w:rsidR="00350AF5">
        <w:rPr>
          <w:rFonts w:ascii="Arial" w:hAnsi="Arial" w:cs="Arial"/>
        </w:rPr>
        <w:t xml:space="preserve">learning </w:t>
      </w:r>
      <w:r w:rsidR="003D61D5" w:rsidRPr="000F4604">
        <w:rPr>
          <w:rFonts w:ascii="Arial" w:hAnsi="Arial" w:cs="Arial"/>
        </w:rPr>
        <w:t xml:space="preserve">support staff to </w:t>
      </w:r>
      <w:r w:rsidRPr="000F4604">
        <w:rPr>
          <w:rFonts w:ascii="Arial" w:hAnsi="Arial" w:cs="Arial"/>
        </w:rPr>
        <w:t xml:space="preserve">further </w:t>
      </w:r>
      <w:r w:rsidR="003D61D5" w:rsidRPr="000F4604">
        <w:rPr>
          <w:rFonts w:ascii="Arial" w:hAnsi="Arial" w:cs="Arial"/>
        </w:rPr>
        <w:t>improve</w:t>
      </w:r>
      <w:r w:rsidRPr="000F4604">
        <w:rPr>
          <w:rFonts w:ascii="Arial" w:hAnsi="Arial" w:cs="Arial"/>
        </w:rPr>
        <w:t xml:space="preserve"> the</w:t>
      </w:r>
      <w:r w:rsidR="003D61D5" w:rsidRPr="000F4604">
        <w:rPr>
          <w:rFonts w:ascii="Arial" w:hAnsi="Arial" w:cs="Arial"/>
        </w:rPr>
        <w:t xml:space="preserve"> embedding of EDI in the </w:t>
      </w:r>
      <w:r w:rsidRPr="000F4604">
        <w:rPr>
          <w:rFonts w:ascii="Arial" w:hAnsi="Arial" w:cs="Arial"/>
        </w:rPr>
        <w:t xml:space="preserve">learning environment. </w:t>
      </w:r>
    </w:p>
    <w:p w:rsidR="00350AF5" w:rsidRPr="00350AF5" w:rsidRDefault="00350AF5" w:rsidP="00350AF5">
      <w:pPr>
        <w:pStyle w:val="ListParagraph"/>
        <w:rPr>
          <w:rFonts w:ascii="Arial" w:hAnsi="Arial" w:cs="Arial"/>
        </w:rPr>
      </w:pPr>
    </w:p>
    <w:p w:rsidR="00350AF5" w:rsidRPr="00350AF5" w:rsidRDefault="001D4FA1" w:rsidP="00350AF5">
      <w:pPr>
        <w:pStyle w:val="ListParagraph"/>
        <w:numPr>
          <w:ilvl w:val="0"/>
          <w:numId w:val="29"/>
        </w:numPr>
        <w:spacing w:after="0" w:line="240" w:lineRule="auto"/>
        <w:jc w:val="both"/>
        <w:rPr>
          <w:rFonts w:ascii="Arial" w:hAnsi="Arial" w:cs="Arial"/>
        </w:rPr>
      </w:pPr>
      <w:r w:rsidRPr="00350AF5">
        <w:rPr>
          <w:rFonts w:ascii="Arial" w:hAnsi="Arial" w:cs="Arial"/>
        </w:rPr>
        <w:t xml:space="preserve">High quality and accessible advice and guidance on EDI issues delivered through a range of channels including the use of on-line resources. </w:t>
      </w:r>
      <w:r w:rsidR="00350AF5">
        <w:rPr>
          <w:rFonts w:ascii="Arial" w:hAnsi="Arial" w:cs="Arial"/>
        </w:rPr>
        <w:t xml:space="preserve">The EDI Advisor </w:t>
      </w:r>
      <w:r w:rsidRPr="00350AF5">
        <w:rPr>
          <w:rFonts w:ascii="Arial" w:hAnsi="Arial" w:cs="Arial"/>
        </w:rPr>
        <w:t>recorded 95 enquiries</w:t>
      </w:r>
      <w:r w:rsidR="00350AF5">
        <w:rPr>
          <w:rFonts w:ascii="Arial" w:hAnsi="Arial" w:cs="Arial"/>
        </w:rPr>
        <w:t xml:space="preserve"> last year</w:t>
      </w:r>
      <w:r w:rsidRPr="00350AF5">
        <w:rPr>
          <w:rFonts w:ascii="Arial" w:hAnsi="Arial" w:cs="Arial"/>
        </w:rPr>
        <w:t xml:space="preserve"> from staff and students which required a response in the form of information, advice, guidance or active support. Examples include </w:t>
      </w:r>
      <w:r w:rsidRPr="00350AF5">
        <w:rPr>
          <w:rFonts w:ascii="Arial" w:hAnsi="Arial" w:cs="Arial"/>
          <w:noProof/>
        </w:rPr>
        <w:t xml:space="preserve">guidance on transgendered learners, access to classrooms and toilets, prayer times and facilities, </w:t>
      </w:r>
      <w:r w:rsidRPr="00350AF5">
        <w:rPr>
          <w:rFonts w:ascii="Arial" w:hAnsi="Arial" w:cs="Arial"/>
          <w:noProof/>
        </w:rPr>
        <w:lastRenderedPageBreak/>
        <w:t>reasonable adjustments</w:t>
      </w:r>
      <w:r w:rsidR="00862063" w:rsidRPr="00350AF5">
        <w:rPr>
          <w:rFonts w:ascii="Arial" w:hAnsi="Arial" w:cs="Arial"/>
          <w:noProof/>
        </w:rPr>
        <w:t xml:space="preserve"> for people with disabilities</w:t>
      </w:r>
      <w:r w:rsidRPr="00350AF5">
        <w:rPr>
          <w:rFonts w:ascii="Arial" w:hAnsi="Arial" w:cs="Arial"/>
          <w:noProof/>
        </w:rPr>
        <w:t xml:space="preserve">, bullying and grievance processes; and active support with student behaviour and equality analyses. </w:t>
      </w:r>
    </w:p>
    <w:p w:rsidR="00350AF5" w:rsidRPr="00350AF5" w:rsidRDefault="00350AF5" w:rsidP="00350AF5">
      <w:pPr>
        <w:pStyle w:val="ListParagraph"/>
        <w:rPr>
          <w:rFonts w:ascii="Arial" w:hAnsi="Arial" w:cs="Arial"/>
        </w:rPr>
      </w:pPr>
    </w:p>
    <w:p w:rsidR="0053456D" w:rsidRDefault="00862063" w:rsidP="00350AF5">
      <w:pPr>
        <w:pStyle w:val="ListParagraph"/>
        <w:numPr>
          <w:ilvl w:val="0"/>
          <w:numId w:val="29"/>
        </w:numPr>
        <w:spacing w:after="0" w:line="240" w:lineRule="auto"/>
        <w:jc w:val="both"/>
        <w:rPr>
          <w:rFonts w:ascii="Arial" w:hAnsi="Arial" w:cs="Arial"/>
        </w:rPr>
      </w:pPr>
      <w:r w:rsidRPr="00350AF5">
        <w:rPr>
          <w:rFonts w:ascii="Arial" w:hAnsi="Arial" w:cs="Arial"/>
        </w:rPr>
        <w:t xml:space="preserve">The establishment of a task and finish group to focus </w:t>
      </w:r>
      <w:r w:rsidR="0089680B" w:rsidRPr="00350AF5">
        <w:rPr>
          <w:rFonts w:ascii="Arial" w:hAnsi="Arial" w:cs="Arial"/>
        </w:rPr>
        <w:t xml:space="preserve">work </w:t>
      </w:r>
      <w:r w:rsidRPr="00350AF5">
        <w:rPr>
          <w:rFonts w:ascii="Arial" w:hAnsi="Arial" w:cs="Arial"/>
        </w:rPr>
        <w:t xml:space="preserve">on </w:t>
      </w:r>
      <w:r w:rsidR="0089680B" w:rsidRPr="00350AF5">
        <w:rPr>
          <w:rFonts w:ascii="Arial" w:hAnsi="Arial" w:cs="Arial"/>
        </w:rPr>
        <w:t>e</w:t>
      </w:r>
      <w:r w:rsidR="001D4FA1" w:rsidRPr="00350AF5">
        <w:rPr>
          <w:rFonts w:ascii="Arial" w:hAnsi="Arial" w:cs="Arial"/>
        </w:rPr>
        <w:t xml:space="preserve">mbedding </w:t>
      </w:r>
      <w:r w:rsidRPr="00350AF5">
        <w:rPr>
          <w:rFonts w:ascii="Arial" w:hAnsi="Arial" w:cs="Arial"/>
        </w:rPr>
        <w:t xml:space="preserve">and fully integrating </w:t>
      </w:r>
      <w:r w:rsidR="001D4FA1" w:rsidRPr="00350AF5">
        <w:rPr>
          <w:rFonts w:ascii="Arial" w:hAnsi="Arial" w:cs="Arial"/>
        </w:rPr>
        <w:t xml:space="preserve">EDI in </w:t>
      </w:r>
      <w:r w:rsidRPr="00350AF5">
        <w:rPr>
          <w:rFonts w:ascii="Arial" w:hAnsi="Arial" w:cs="Arial"/>
        </w:rPr>
        <w:t xml:space="preserve">the College’s </w:t>
      </w:r>
      <w:r w:rsidR="001D4FA1" w:rsidRPr="00350AF5">
        <w:rPr>
          <w:rFonts w:ascii="Arial" w:hAnsi="Arial" w:cs="Arial"/>
        </w:rPr>
        <w:t>E</w:t>
      </w:r>
      <w:r w:rsidRPr="00350AF5">
        <w:rPr>
          <w:rFonts w:ascii="Arial" w:hAnsi="Arial" w:cs="Arial"/>
        </w:rPr>
        <w:t xml:space="preserve">mployer </w:t>
      </w:r>
      <w:r w:rsidR="001D4FA1" w:rsidRPr="00350AF5">
        <w:rPr>
          <w:rFonts w:ascii="Arial" w:hAnsi="Arial" w:cs="Arial"/>
        </w:rPr>
        <w:t>R</w:t>
      </w:r>
      <w:r w:rsidRPr="00350AF5">
        <w:rPr>
          <w:rFonts w:ascii="Arial" w:hAnsi="Arial" w:cs="Arial"/>
        </w:rPr>
        <w:t>esponsive, specifically Apprenticeship,</w:t>
      </w:r>
      <w:r w:rsidR="001D4FA1" w:rsidRPr="00350AF5">
        <w:rPr>
          <w:rFonts w:ascii="Arial" w:hAnsi="Arial" w:cs="Arial"/>
        </w:rPr>
        <w:t xml:space="preserve"> provision</w:t>
      </w:r>
      <w:r w:rsidR="0053456D" w:rsidRPr="00350AF5">
        <w:rPr>
          <w:rFonts w:ascii="Arial" w:hAnsi="Arial" w:cs="Arial"/>
        </w:rPr>
        <w:t xml:space="preserve">;  </w:t>
      </w:r>
      <w:r w:rsidRPr="00350AF5">
        <w:rPr>
          <w:rFonts w:ascii="Arial" w:hAnsi="Arial" w:cs="Arial"/>
        </w:rPr>
        <w:t xml:space="preserve">resulting in improved support for workplace assessors and employers who benefit from an EDI health check and clear </w:t>
      </w:r>
      <w:r w:rsidR="001D4FA1" w:rsidRPr="00350AF5">
        <w:rPr>
          <w:rFonts w:ascii="Arial" w:hAnsi="Arial" w:cs="Arial"/>
        </w:rPr>
        <w:t>guidance</w:t>
      </w:r>
      <w:r w:rsidRPr="00350AF5">
        <w:rPr>
          <w:rFonts w:ascii="Arial" w:hAnsi="Arial" w:cs="Arial"/>
        </w:rPr>
        <w:t xml:space="preserve"> on their responsib</w:t>
      </w:r>
      <w:r w:rsidR="0053456D" w:rsidRPr="00350AF5">
        <w:rPr>
          <w:rFonts w:ascii="Arial" w:hAnsi="Arial" w:cs="Arial"/>
        </w:rPr>
        <w:t>ilities</w:t>
      </w:r>
      <w:r w:rsidR="0089680B" w:rsidRPr="00350AF5">
        <w:rPr>
          <w:rFonts w:ascii="Arial" w:hAnsi="Arial" w:cs="Arial"/>
        </w:rPr>
        <w:t xml:space="preserve">. </w:t>
      </w:r>
    </w:p>
    <w:p w:rsidR="00740859" w:rsidRPr="00740859" w:rsidRDefault="00740859" w:rsidP="00740859">
      <w:pPr>
        <w:spacing w:after="0" w:line="240" w:lineRule="auto"/>
        <w:jc w:val="both"/>
        <w:rPr>
          <w:rFonts w:cs="Arial"/>
        </w:rPr>
      </w:pPr>
    </w:p>
    <w:p w:rsidR="0089680B" w:rsidRDefault="0053456D" w:rsidP="00681CD4">
      <w:pPr>
        <w:pStyle w:val="ListParagraph"/>
        <w:numPr>
          <w:ilvl w:val="0"/>
          <w:numId w:val="16"/>
        </w:numPr>
        <w:spacing w:after="0" w:line="240" w:lineRule="auto"/>
        <w:jc w:val="both"/>
        <w:rPr>
          <w:rFonts w:ascii="Arial" w:hAnsi="Arial" w:cs="Arial"/>
        </w:rPr>
      </w:pPr>
      <w:r w:rsidRPr="00350AF5">
        <w:rPr>
          <w:rFonts w:ascii="Arial" w:hAnsi="Arial" w:cs="Arial"/>
        </w:rPr>
        <w:t>C</w:t>
      </w:r>
      <w:r w:rsidR="0089680B" w:rsidRPr="00350AF5">
        <w:rPr>
          <w:rFonts w:ascii="Arial" w:hAnsi="Arial" w:cs="Arial"/>
        </w:rPr>
        <w:t xml:space="preserve">ontinuing work with sub-contractors and effective support to partners on EDI matters as and when required. </w:t>
      </w:r>
    </w:p>
    <w:p w:rsidR="00350AF5" w:rsidRPr="00350AF5" w:rsidRDefault="00350AF5" w:rsidP="00350AF5">
      <w:pPr>
        <w:pStyle w:val="ListParagraph"/>
        <w:spacing w:after="0" w:line="240" w:lineRule="auto"/>
        <w:jc w:val="both"/>
        <w:rPr>
          <w:rFonts w:ascii="Arial" w:hAnsi="Arial" w:cs="Arial"/>
        </w:rPr>
      </w:pPr>
    </w:p>
    <w:p w:rsidR="00FA35D8" w:rsidRDefault="00FA35D8" w:rsidP="00681CD4">
      <w:pPr>
        <w:pStyle w:val="ListParagraph"/>
        <w:numPr>
          <w:ilvl w:val="0"/>
          <w:numId w:val="16"/>
        </w:numPr>
        <w:spacing w:after="0" w:line="240" w:lineRule="auto"/>
        <w:jc w:val="both"/>
        <w:rPr>
          <w:rFonts w:ascii="Arial" w:hAnsi="Arial" w:cs="Arial"/>
        </w:rPr>
      </w:pPr>
      <w:r w:rsidRPr="00350AF5">
        <w:rPr>
          <w:rFonts w:ascii="Arial" w:hAnsi="Arial" w:cs="Arial"/>
        </w:rPr>
        <w:t xml:space="preserve">Effective links established with the observation team to ensure continuity with advice on EDI practice, with </w:t>
      </w:r>
      <w:r w:rsidR="00740859">
        <w:rPr>
          <w:rFonts w:ascii="Arial" w:hAnsi="Arial" w:cs="Arial"/>
        </w:rPr>
        <w:t xml:space="preserve">the </w:t>
      </w:r>
      <w:r w:rsidRPr="00350AF5">
        <w:rPr>
          <w:rFonts w:ascii="Arial" w:hAnsi="Arial" w:cs="Arial"/>
        </w:rPr>
        <w:t>EDI team involved in learning walks and shadowing observations.</w:t>
      </w:r>
    </w:p>
    <w:p w:rsidR="00350AF5" w:rsidRPr="00350AF5" w:rsidRDefault="00350AF5" w:rsidP="00350AF5">
      <w:pPr>
        <w:pStyle w:val="ListParagraph"/>
        <w:rPr>
          <w:rFonts w:ascii="Arial" w:hAnsi="Arial" w:cs="Arial"/>
        </w:rPr>
      </w:pPr>
    </w:p>
    <w:p w:rsidR="00FA35D8" w:rsidRDefault="00FA35D8" w:rsidP="00681CD4">
      <w:pPr>
        <w:pStyle w:val="ListParagraph"/>
        <w:numPr>
          <w:ilvl w:val="0"/>
          <w:numId w:val="16"/>
        </w:numPr>
        <w:spacing w:after="0" w:line="240" w:lineRule="auto"/>
        <w:jc w:val="both"/>
        <w:rPr>
          <w:rFonts w:ascii="Arial" w:hAnsi="Arial" w:cs="Arial"/>
        </w:rPr>
      </w:pPr>
      <w:r w:rsidRPr="00350AF5">
        <w:rPr>
          <w:rFonts w:ascii="Arial" w:hAnsi="Arial" w:cs="Arial"/>
        </w:rPr>
        <w:t xml:space="preserve">Evaluation of Lesson Observation reports effectively identifies good practice to be shared and the training or support needs of curriculum areas to advance positive outcomes for learners. </w:t>
      </w:r>
    </w:p>
    <w:p w:rsidR="00350AF5" w:rsidRPr="00350AF5" w:rsidRDefault="00350AF5" w:rsidP="00350AF5">
      <w:pPr>
        <w:pStyle w:val="ListParagraph"/>
        <w:rPr>
          <w:rFonts w:ascii="Arial" w:hAnsi="Arial" w:cs="Arial"/>
        </w:rPr>
      </w:pPr>
    </w:p>
    <w:p w:rsidR="00FA35D8" w:rsidRDefault="00FA35D8" w:rsidP="00681CD4">
      <w:pPr>
        <w:pStyle w:val="ListParagraph"/>
        <w:numPr>
          <w:ilvl w:val="0"/>
          <w:numId w:val="16"/>
        </w:numPr>
        <w:spacing w:after="0" w:line="240" w:lineRule="auto"/>
        <w:jc w:val="both"/>
        <w:rPr>
          <w:rFonts w:ascii="Arial" w:hAnsi="Arial" w:cs="Arial"/>
        </w:rPr>
      </w:pPr>
      <w:r w:rsidRPr="00350AF5">
        <w:rPr>
          <w:rFonts w:ascii="Arial" w:hAnsi="Arial" w:cs="Arial"/>
        </w:rPr>
        <w:t>One to one coaching and support to improve practices for individual teaching staff</w:t>
      </w:r>
      <w:r w:rsidR="001D4FA1" w:rsidRPr="00350AF5">
        <w:rPr>
          <w:rFonts w:ascii="Arial" w:hAnsi="Arial" w:cs="Arial"/>
        </w:rPr>
        <w:t xml:space="preserve">. </w:t>
      </w:r>
    </w:p>
    <w:p w:rsidR="00350AF5" w:rsidRPr="00350AF5" w:rsidRDefault="00350AF5" w:rsidP="00350AF5">
      <w:pPr>
        <w:pStyle w:val="ListParagraph"/>
        <w:rPr>
          <w:rFonts w:ascii="Arial" w:hAnsi="Arial" w:cs="Arial"/>
        </w:rPr>
      </w:pPr>
    </w:p>
    <w:p w:rsidR="001D4FA1" w:rsidRDefault="001D4FA1" w:rsidP="00681CD4">
      <w:pPr>
        <w:pStyle w:val="ListParagraph"/>
        <w:numPr>
          <w:ilvl w:val="0"/>
          <w:numId w:val="16"/>
        </w:numPr>
        <w:spacing w:after="0" w:line="240" w:lineRule="auto"/>
        <w:rPr>
          <w:rFonts w:ascii="Arial" w:hAnsi="Arial" w:cs="Arial"/>
        </w:rPr>
      </w:pPr>
      <w:r w:rsidRPr="00350AF5">
        <w:rPr>
          <w:rFonts w:ascii="Arial" w:hAnsi="Arial" w:cs="Arial"/>
        </w:rPr>
        <w:t xml:space="preserve">Facilitating the sharing of good practice </w:t>
      </w:r>
      <w:r w:rsidR="00FA35D8" w:rsidRPr="00350AF5">
        <w:rPr>
          <w:rFonts w:ascii="Arial" w:hAnsi="Arial" w:cs="Arial"/>
        </w:rPr>
        <w:t xml:space="preserve">between staff </w:t>
      </w:r>
      <w:r w:rsidRPr="00350AF5">
        <w:rPr>
          <w:rFonts w:ascii="Arial" w:hAnsi="Arial" w:cs="Arial"/>
        </w:rPr>
        <w:t xml:space="preserve">to collate examples for the inclusion in </w:t>
      </w:r>
      <w:r w:rsidR="0053456D" w:rsidRPr="00350AF5">
        <w:rPr>
          <w:rFonts w:ascii="Arial" w:hAnsi="Arial" w:cs="Arial"/>
        </w:rPr>
        <w:t xml:space="preserve">the </w:t>
      </w:r>
      <w:r w:rsidRPr="00350AF5">
        <w:rPr>
          <w:rFonts w:ascii="Arial" w:hAnsi="Arial" w:cs="Arial"/>
        </w:rPr>
        <w:t xml:space="preserve">online EDI toolkit for </w:t>
      </w:r>
      <w:r w:rsidR="00FA35D8" w:rsidRPr="00350AF5">
        <w:rPr>
          <w:rFonts w:ascii="Arial" w:hAnsi="Arial" w:cs="Arial"/>
        </w:rPr>
        <w:t>20</w:t>
      </w:r>
      <w:r w:rsidRPr="00350AF5">
        <w:rPr>
          <w:rFonts w:ascii="Arial" w:hAnsi="Arial" w:cs="Arial"/>
        </w:rPr>
        <w:t>15-16.</w:t>
      </w:r>
    </w:p>
    <w:p w:rsidR="00350AF5" w:rsidRPr="00350AF5" w:rsidRDefault="00350AF5" w:rsidP="00350AF5">
      <w:pPr>
        <w:pStyle w:val="ListParagraph"/>
        <w:rPr>
          <w:rFonts w:ascii="Arial" w:hAnsi="Arial" w:cs="Arial"/>
        </w:rPr>
      </w:pPr>
    </w:p>
    <w:p w:rsidR="001D4FA1" w:rsidRPr="00CD785F" w:rsidRDefault="001D4FA1" w:rsidP="00681CD4">
      <w:pPr>
        <w:pStyle w:val="ListParagraph"/>
        <w:numPr>
          <w:ilvl w:val="0"/>
          <w:numId w:val="16"/>
        </w:numPr>
        <w:spacing w:after="0" w:line="240" w:lineRule="auto"/>
        <w:rPr>
          <w:rFonts w:ascii="Arial" w:hAnsi="Arial" w:cs="Arial"/>
        </w:rPr>
      </w:pPr>
      <w:r w:rsidRPr="00350AF5">
        <w:rPr>
          <w:rFonts w:ascii="Arial" w:hAnsi="Arial" w:cs="Arial"/>
        </w:rPr>
        <w:t>Exploring positive action strategies to address areas of under</w:t>
      </w:r>
      <w:r w:rsidR="00CD785F">
        <w:rPr>
          <w:rFonts w:ascii="Arial" w:hAnsi="Arial" w:cs="Arial"/>
        </w:rPr>
        <w:t>-</w:t>
      </w:r>
      <w:r w:rsidRPr="00350AF5">
        <w:rPr>
          <w:rFonts w:ascii="Arial" w:hAnsi="Arial" w:cs="Arial"/>
        </w:rPr>
        <w:t xml:space="preserve">representation for example women into IT and Computing; Black and Ethnic Minority groups and people with disabilities/difficulties into apprenticeships.  Marketing have for example </w:t>
      </w:r>
      <w:r w:rsidRPr="00CD785F">
        <w:rPr>
          <w:rFonts w:ascii="Arial" w:hAnsi="Arial" w:cs="Arial"/>
        </w:rPr>
        <w:t>commenced advertising college courses and apprenticeships on Kemet FM, a station with predominately BME listeners.</w:t>
      </w:r>
    </w:p>
    <w:p w:rsidR="00CD785F" w:rsidRPr="00CD785F" w:rsidRDefault="00CD785F" w:rsidP="00CD785F">
      <w:pPr>
        <w:pStyle w:val="ListParagraph"/>
        <w:rPr>
          <w:rFonts w:ascii="Arial" w:hAnsi="Arial" w:cs="Arial"/>
        </w:rPr>
      </w:pPr>
    </w:p>
    <w:p w:rsidR="00FA35D8" w:rsidRPr="00CD785F" w:rsidRDefault="001D4FA1" w:rsidP="00681CD4">
      <w:pPr>
        <w:pStyle w:val="ListParagraph"/>
        <w:numPr>
          <w:ilvl w:val="0"/>
          <w:numId w:val="16"/>
        </w:numPr>
        <w:spacing w:after="0" w:line="240" w:lineRule="auto"/>
        <w:jc w:val="both"/>
        <w:rPr>
          <w:rFonts w:ascii="Arial" w:hAnsi="Arial" w:cs="Arial"/>
          <w:color w:val="000000" w:themeColor="text1"/>
        </w:rPr>
      </w:pPr>
      <w:r w:rsidRPr="00CD785F">
        <w:rPr>
          <w:rFonts w:ascii="Arial" w:hAnsi="Arial" w:cs="Arial"/>
        </w:rPr>
        <w:t xml:space="preserve">Good levels of engagement with learners on EDI matters for example through learner forums, the EDI group, activities and events. This has resulted in learners improving their understanding of EDI and developing personal skills outside of the classroom, for example in organising events. </w:t>
      </w:r>
    </w:p>
    <w:p w:rsidR="00CD785F" w:rsidRPr="00CD785F" w:rsidRDefault="00CD785F" w:rsidP="00CD785F">
      <w:pPr>
        <w:pStyle w:val="ListParagraph"/>
        <w:spacing w:after="0" w:line="240" w:lineRule="auto"/>
        <w:jc w:val="both"/>
        <w:rPr>
          <w:rFonts w:ascii="Arial" w:hAnsi="Arial" w:cs="Arial"/>
          <w:color w:val="000000" w:themeColor="text1"/>
        </w:rPr>
      </w:pPr>
    </w:p>
    <w:p w:rsidR="0089680B" w:rsidRDefault="001D4FA1" w:rsidP="00681CD4">
      <w:pPr>
        <w:pStyle w:val="ListParagraph"/>
        <w:numPr>
          <w:ilvl w:val="0"/>
          <w:numId w:val="16"/>
        </w:numPr>
        <w:spacing w:after="0" w:line="240" w:lineRule="auto"/>
        <w:jc w:val="both"/>
        <w:rPr>
          <w:rFonts w:ascii="Arial" w:hAnsi="Arial" w:cs="Arial"/>
          <w:color w:val="000000" w:themeColor="text1"/>
        </w:rPr>
      </w:pPr>
      <w:r w:rsidRPr="00CD785F">
        <w:rPr>
          <w:rFonts w:ascii="Arial" w:hAnsi="Arial" w:cs="Arial"/>
        </w:rPr>
        <w:t xml:space="preserve">Learners engaged with stalls and activities for example exploring diverse cultures during Diversity Week. </w:t>
      </w:r>
      <w:r w:rsidR="0089680B" w:rsidRPr="00CD785F">
        <w:rPr>
          <w:rFonts w:ascii="Arial" w:hAnsi="Arial" w:cs="Arial"/>
          <w:color w:val="000000" w:themeColor="text1"/>
        </w:rPr>
        <w:t>Evaluation and feedback show that individual perceptions have changed, and people’s knowledge and understand</w:t>
      </w:r>
      <w:r w:rsidR="0053456D" w:rsidRPr="00CD785F">
        <w:rPr>
          <w:rFonts w:ascii="Arial" w:hAnsi="Arial" w:cs="Arial"/>
          <w:color w:val="000000" w:themeColor="text1"/>
        </w:rPr>
        <w:t>ing have increased as a result.</w:t>
      </w:r>
    </w:p>
    <w:p w:rsidR="00CD785F" w:rsidRPr="00CD785F" w:rsidRDefault="00CD785F" w:rsidP="00CD785F">
      <w:pPr>
        <w:pStyle w:val="ListParagraph"/>
        <w:rPr>
          <w:rFonts w:ascii="Arial" w:hAnsi="Arial" w:cs="Arial"/>
          <w:color w:val="000000" w:themeColor="text1"/>
        </w:rPr>
      </w:pPr>
    </w:p>
    <w:p w:rsidR="0053456D" w:rsidRDefault="001D4FA1" w:rsidP="00681CD4">
      <w:pPr>
        <w:pStyle w:val="ListParagraph"/>
        <w:numPr>
          <w:ilvl w:val="0"/>
          <w:numId w:val="16"/>
        </w:numPr>
        <w:spacing w:after="0" w:line="240" w:lineRule="auto"/>
        <w:jc w:val="both"/>
        <w:rPr>
          <w:rFonts w:ascii="Arial" w:hAnsi="Arial" w:cs="Arial"/>
          <w:color w:val="000000" w:themeColor="text1"/>
        </w:rPr>
      </w:pPr>
      <w:r w:rsidRPr="00CD785F">
        <w:rPr>
          <w:rFonts w:ascii="Arial" w:hAnsi="Arial" w:cs="Arial"/>
        </w:rPr>
        <w:t>Facilitating curriculum and business support areas to work together to provide opportunities for learners to work with those on different courses. This has proved effective in breaking down barriers, fostering relationships and inc</w:t>
      </w:r>
      <w:r w:rsidR="0053456D" w:rsidRPr="00CD785F">
        <w:rPr>
          <w:rFonts w:ascii="Arial" w:hAnsi="Arial" w:cs="Arial"/>
        </w:rPr>
        <w:t>reasing understanding of others. F</w:t>
      </w:r>
      <w:r w:rsidR="0053456D" w:rsidRPr="00CD785F">
        <w:rPr>
          <w:rFonts w:ascii="Arial" w:hAnsi="Arial" w:cs="Arial"/>
          <w:color w:val="000000" w:themeColor="text1"/>
        </w:rPr>
        <w:t xml:space="preserve">eedback demonstrates that perceptions have </w:t>
      </w:r>
      <w:r w:rsidR="00E57CD7" w:rsidRPr="00CD785F">
        <w:rPr>
          <w:rFonts w:ascii="Arial" w:hAnsi="Arial" w:cs="Arial"/>
          <w:color w:val="000000" w:themeColor="text1"/>
        </w:rPr>
        <w:t xml:space="preserve">been challenged </w:t>
      </w:r>
      <w:r w:rsidR="0053456D" w:rsidRPr="00CD785F">
        <w:rPr>
          <w:rFonts w:ascii="Arial" w:hAnsi="Arial" w:cs="Arial"/>
          <w:color w:val="000000" w:themeColor="text1"/>
        </w:rPr>
        <w:t xml:space="preserve">and people’s </w:t>
      </w:r>
      <w:r w:rsidR="00E57CD7" w:rsidRPr="00CD785F">
        <w:rPr>
          <w:rFonts w:ascii="Arial" w:hAnsi="Arial" w:cs="Arial"/>
          <w:color w:val="000000" w:themeColor="text1"/>
        </w:rPr>
        <w:t xml:space="preserve">awareness and </w:t>
      </w:r>
      <w:r w:rsidR="0053456D" w:rsidRPr="00CD785F">
        <w:rPr>
          <w:rFonts w:ascii="Arial" w:hAnsi="Arial" w:cs="Arial"/>
          <w:color w:val="000000" w:themeColor="text1"/>
        </w:rPr>
        <w:t>understanding ha</w:t>
      </w:r>
      <w:r w:rsidR="00E57CD7" w:rsidRPr="00CD785F">
        <w:rPr>
          <w:rFonts w:ascii="Arial" w:hAnsi="Arial" w:cs="Arial"/>
          <w:color w:val="000000" w:themeColor="text1"/>
        </w:rPr>
        <w:t xml:space="preserve">s improved as a consequence. </w:t>
      </w:r>
    </w:p>
    <w:p w:rsidR="00CD785F" w:rsidRPr="00CD785F" w:rsidRDefault="00CD785F" w:rsidP="00CD785F">
      <w:pPr>
        <w:pStyle w:val="ListParagraph"/>
        <w:rPr>
          <w:rFonts w:ascii="Arial" w:hAnsi="Arial" w:cs="Arial"/>
          <w:color w:val="000000" w:themeColor="text1"/>
        </w:rPr>
      </w:pPr>
    </w:p>
    <w:p w:rsidR="00CD785F" w:rsidRDefault="001D4FA1" w:rsidP="00681CD4">
      <w:pPr>
        <w:pStyle w:val="ListParagraph"/>
        <w:numPr>
          <w:ilvl w:val="0"/>
          <w:numId w:val="16"/>
        </w:numPr>
        <w:spacing w:after="0" w:line="240" w:lineRule="auto"/>
        <w:rPr>
          <w:rFonts w:ascii="Arial" w:hAnsi="Arial" w:cs="Arial"/>
        </w:rPr>
      </w:pPr>
      <w:r w:rsidRPr="00CD785F">
        <w:rPr>
          <w:rFonts w:ascii="Arial" w:hAnsi="Arial" w:cs="Arial"/>
        </w:rPr>
        <w:t>Clarification of processes</w:t>
      </w:r>
      <w:r w:rsidRPr="000F4604">
        <w:rPr>
          <w:rFonts w:ascii="Arial" w:hAnsi="Arial" w:cs="Arial"/>
        </w:rPr>
        <w:t xml:space="preserve"> around e.g. prayer times, supporting trans staff and students</w:t>
      </w:r>
      <w:r w:rsidR="00C148AD" w:rsidRPr="000F4604">
        <w:rPr>
          <w:rFonts w:ascii="Arial" w:hAnsi="Arial" w:cs="Arial"/>
        </w:rPr>
        <w:t xml:space="preserve">, and the </w:t>
      </w:r>
      <w:r w:rsidR="00CD785F">
        <w:rPr>
          <w:rFonts w:ascii="Arial" w:hAnsi="Arial" w:cs="Arial"/>
        </w:rPr>
        <w:t xml:space="preserve">introduction </w:t>
      </w:r>
      <w:r w:rsidR="00C148AD" w:rsidRPr="000F4604">
        <w:rPr>
          <w:rFonts w:ascii="Arial" w:hAnsi="Arial" w:cs="Arial"/>
        </w:rPr>
        <w:t>of reflection rooms</w:t>
      </w:r>
      <w:r w:rsidR="00CD785F">
        <w:rPr>
          <w:rFonts w:ascii="Arial" w:hAnsi="Arial" w:cs="Arial"/>
        </w:rPr>
        <w:t>.</w:t>
      </w:r>
    </w:p>
    <w:p w:rsidR="00CD785F" w:rsidRPr="00CD785F" w:rsidRDefault="00CD785F" w:rsidP="00CD785F">
      <w:pPr>
        <w:pStyle w:val="ListParagraph"/>
        <w:rPr>
          <w:rFonts w:ascii="Arial" w:hAnsi="Arial" w:cs="Arial"/>
        </w:rPr>
      </w:pPr>
    </w:p>
    <w:p w:rsidR="001D4FA1" w:rsidRDefault="00C148AD" w:rsidP="00681CD4">
      <w:pPr>
        <w:pStyle w:val="ListParagraph"/>
        <w:numPr>
          <w:ilvl w:val="0"/>
          <w:numId w:val="16"/>
        </w:numPr>
        <w:spacing w:after="0" w:line="240" w:lineRule="auto"/>
        <w:jc w:val="both"/>
        <w:rPr>
          <w:rFonts w:ascii="Arial" w:hAnsi="Arial" w:cs="Arial"/>
        </w:rPr>
      </w:pPr>
      <w:r w:rsidRPr="000F4604">
        <w:rPr>
          <w:rFonts w:ascii="Arial" w:hAnsi="Arial" w:cs="Arial"/>
        </w:rPr>
        <w:t>A s</w:t>
      </w:r>
      <w:r w:rsidR="001D4FA1" w:rsidRPr="000F4604">
        <w:rPr>
          <w:rFonts w:ascii="Arial" w:hAnsi="Arial" w:cs="Arial"/>
        </w:rPr>
        <w:t xml:space="preserve">uccessful second </w:t>
      </w:r>
      <w:r w:rsidRPr="000F4604">
        <w:rPr>
          <w:rFonts w:ascii="Arial" w:hAnsi="Arial" w:cs="Arial"/>
        </w:rPr>
        <w:t xml:space="preserve">and final </w:t>
      </w:r>
      <w:r w:rsidR="001D4FA1" w:rsidRPr="000F4604">
        <w:rPr>
          <w:rFonts w:ascii="Arial" w:hAnsi="Arial" w:cs="Arial"/>
        </w:rPr>
        <w:t xml:space="preserve">year of </w:t>
      </w:r>
      <w:r w:rsidRPr="000F4604">
        <w:rPr>
          <w:rFonts w:ascii="Arial" w:hAnsi="Arial" w:cs="Arial"/>
        </w:rPr>
        <w:t xml:space="preserve">the </w:t>
      </w:r>
      <w:r w:rsidR="001D4FA1" w:rsidRPr="000F4604">
        <w:rPr>
          <w:rFonts w:ascii="Arial" w:hAnsi="Arial" w:cs="Arial"/>
        </w:rPr>
        <w:t xml:space="preserve">Fair Futures programme. By the end of the academic year 20 learners from a range of curriculum areas from Level 1, 2 and 3, </w:t>
      </w:r>
      <w:r w:rsidR="001D4FA1" w:rsidRPr="000F4604">
        <w:rPr>
          <w:rFonts w:ascii="Arial" w:hAnsi="Arial" w:cs="Arial"/>
        </w:rPr>
        <w:lastRenderedPageBreak/>
        <w:t>with a range of disabilities and learning differences</w:t>
      </w:r>
      <w:r w:rsidR="00740859">
        <w:rPr>
          <w:rFonts w:ascii="Arial" w:hAnsi="Arial" w:cs="Arial"/>
        </w:rPr>
        <w:t>,</w:t>
      </w:r>
      <w:r w:rsidR="00CD785F">
        <w:rPr>
          <w:rFonts w:ascii="Arial" w:hAnsi="Arial" w:cs="Arial"/>
        </w:rPr>
        <w:t xml:space="preserve"> </w:t>
      </w:r>
      <w:r w:rsidR="001D4FA1" w:rsidRPr="000F4604">
        <w:rPr>
          <w:rFonts w:ascii="Arial" w:hAnsi="Arial" w:cs="Arial"/>
        </w:rPr>
        <w:t xml:space="preserve">had participated in </w:t>
      </w:r>
      <w:r w:rsidRPr="000F4604">
        <w:rPr>
          <w:rFonts w:ascii="Arial" w:hAnsi="Arial" w:cs="Arial"/>
        </w:rPr>
        <w:t xml:space="preserve">the supported employment programme. </w:t>
      </w:r>
      <w:r w:rsidR="001D4FA1" w:rsidRPr="000F4604">
        <w:rPr>
          <w:rFonts w:ascii="Arial" w:hAnsi="Arial" w:cs="Arial"/>
        </w:rPr>
        <w:t xml:space="preserve"> </w:t>
      </w:r>
    </w:p>
    <w:p w:rsidR="00CD785F" w:rsidRPr="00CD785F" w:rsidRDefault="00CD785F" w:rsidP="00CD785F">
      <w:pPr>
        <w:pStyle w:val="ListParagraph"/>
        <w:rPr>
          <w:rFonts w:ascii="Arial" w:hAnsi="Arial" w:cs="Arial"/>
        </w:rPr>
      </w:pPr>
    </w:p>
    <w:p w:rsidR="001D4FA1" w:rsidRDefault="001D4FA1" w:rsidP="00681CD4">
      <w:pPr>
        <w:pStyle w:val="ListParagraph"/>
        <w:numPr>
          <w:ilvl w:val="0"/>
          <w:numId w:val="16"/>
        </w:numPr>
        <w:spacing w:after="0" w:line="240" w:lineRule="auto"/>
        <w:jc w:val="both"/>
        <w:rPr>
          <w:rFonts w:ascii="Arial" w:hAnsi="Arial" w:cs="Arial"/>
        </w:rPr>
      </w:pPr>
      <w:r w:rsidRPr="000F4604">
        <w:rPr>
          <w:rFonts w:ascii="Arial" w:hAnsi="Arial" w:cs="Arial"/>
        </w:rPr>
        <w:t xml:space="preserve">Monitoring incidences of bullying and harassment and discrimination through the College complaints process. Complaints are categorised according to EDI characteristics and cause of complaint (discrimination/harassment) and these are reviewed by the EDI </w:t>
      </w:r>
      <w:r w:rsidR="00740859">
        <w:rPr>
          <w:rFonts w:ascii="Arial" w:hAnsi="Arial" w:cs="Arial"/>
        </w:rPr>
        <w:t>g</w:t>
      </w:r>
      <w:r w:rsidRPr="000F4604">
        <w:rPr>
          <w:rFonts w:ascii="Arial" w:hAnsi="Arial" w:cs="Arial"/>
        </w:rPr>
        <w:t>roup.</w:t>
      </w:r>
    </w:p>
    <w:p w:rsidR="004420D5" w:rsidRPr="004420D5" w:rsidRDefault="004420D5" w:rsidP="004420D5">
      <w:pPr>
        <w:pStyle w:val="ListParagraph"/>
        <w:rPr>
          <w:rFonts w:ascii="Arial" w:hAnsi="Arial" w:cs="Arial"/>
        </w:rPr>
      </w:pPr>
    </w:p>
    <w:p w:rsidR="00740859" w:rsidRPr="000F4604" w:rsidRDefault="00740859" w:rsidP="00740859">
      <w:pPr>
        <w:pStyle w:val="ListParagraph"/>
        <w:numPr>
          <w:ilvl w:val="0"/>
          <w:numId w:val="16"/>
        </w:numPr>
        <w:spacing w:after="0" w:line="240" w:lineRule="auto"/>
        <w:jc w:val="both"/>
        <w:rPr>
          <w:rFonts w:ascii="Arial" w:hAnsi="Arial" w:cs="Arial"/>
        </w:rPr>
      </w:pPr>
      <w:r w:rsidRPr="000F4604">
        <w:rPr>
          <w:rFonts w:ascii="Arial" w:hAnsi="Arial" w:cs="Arial"/>
        </w:rPr>
        <w:t>Improved service monitoring mechanisms to ensure quality of service delivery and a realistic reflection of service standards.</w:t>
      </w:r>
    </w:p>
    <w:p w:rsidR="00740859" w:rsidRPr="000F4604" w:rsidRDefault="00740859" w:rsidP="00740859">
      <w:pPr>
        <w:spacing w:after="0" w:line="240" w:lineRule="auto"/>
        <w:jc w:val="both"/>
        <w:rPr>
          <w:rFonts w:cs="Arial"/>
          <w:b/>
        </w:rPr>
      </w:pPr>
    </w:p>
    <w:p w:rsidR="003D61D5" w:rsidRDefault="003D61D5" w:rsidP="00681CD4">
      <w:pPr>
        <w:pStyle w:val="ListParagraph"/>
        <w:numPr>
          <w:ilvl w:val="0"/>
          <w:numId w:val="16"/>
        </w:numPr>
        <w:spacing w:after="0" w:line="240" w:lineRule="auto"/>
        <w:rPr>
          <w:rFonts w:ascii="Arial" w:hAnsi="Arial" w:cs="Arial"/>
          <w:color w:val="000000"/>
        </w:rPr>
      </w:pPr>
      <w:r w:rsidRPr="000F4604">
        <w:rPr>
          <w:rFonts w:ascii="Arial" w:hAnsi="Arial" w:cs="Arial"/>
          <w:color w:val="000000"/>
        </w:rPr>
        <w:t xml:space="preserve">The College continued to be recognised as an Investor in Diversity until June 2015. A decision, in light of financial constraints and lack of benefit, was made to not renew the award </w:t>
      </w:r>
      <w:r w:rsidR="00CD785F">
        <w:rPr>
          <w:rFonts w:ascii="Arial" w:hAnsi="Arial" w:cs="Arial"/>
          <w:color w:val="000000"/>
        </w:rPr>
        <w:t>after June 2015.</w:t>
      </w:r>
    </w:p>
    <w:p w:rsidR="00CD785F" w:rsidRDefault="00CD785F" w:rsidP="00CD785F">
      <w:pPr>
        <w:pStyle w:val="ListParagraph"/>
        <w:spacing w:after="0" w:line="240" w:lineRule="auto"/>
        <w:jc w:val="both"/>
        <w:rPr>
          <w:rFonts w:ascii="Arial" w:hAnsi="Arial" w:cs="Arial"/>
        </w:rPr>
      </w:pPr>
    </w:p>
    <w:p w:rsidR="008D5EA4" w:rsidRDefault="001B4485" w:rsidP="00681CD4">
      <w:pPr>
        <w:spacing w:after="0" w:line="240" w:lineRule="auto"/>
        <w:jc w:val="both"/>
        <w:rPr>
          <w:rFonts w:cs="Arial"/>
          <w:b/>
        </w:rPr>
      </w:pPr>
      <w:r w:rsidRPr="000F4604">
        <w:rPr>
          <w:rFonts w:cs="Arial"/>
          <w:b/>
        </w:rPr>
        <w:t>6</w:t>
      </w:r>
      <w:r w:rsidR="008D5EA4" w:rsidRPr="000F4604">
        <w:rPr>
          <w:rFonts w:cs="Arial"/>
          <w:b/>
        </w:rPr>
        <w:t>. Ofsted</w:t>
      </w:r>
    </w:p>
    <w:p w:rsidR="00EA4F0B" w:rsidRPr="000F4604" w:rsidRDefault="00EA4F0B" w:rsidP="00681CD4">
      <w:pPr>
        <w:spacing w:after="0" w:line="240" w:lineRule="auto"/>
        <w:rPr>
          <w:rFonts w:cs="Arial"/>
          <w:color w:val="000000"/>
        </w:rPr>
      </w:pPr>
      <w:r w:rsidRPr="000F4604">
        <w:rPr>
          <w:rFonts w:cs="Arial"/>
        </w:rPr>
        <w:t xml:space="preserve">The Ofsted inspection in November 2014 </w:t>
      </w:r>
      <w:r w:rsidR="00247550" w:rsidRPr="000F4604">
        <w:rPr>
          <w:rFonts w:cs="Arial"/>
        </w:rPr>
        <w:t>demonstrated that work with S</w:t>
      </w:r>
      <w:r w:rsidRPr="000F4604">
        <w:rPr>
          <w:rFonts w:cs="Arial"/>
        </w:rPr>
        <w:t>chools continue</w:t>
      </w:r>
      <w:r w:rsidR="00247550" w:rsidRPr="000F4604">
        <w:rPr>
          <w:rFonts w:cs="Arial"/>
        </w:rPr>
        <w:t>d</w:t>
      </w:r>
      <w:r w:rsidRPr="000F4604">
        <w:rPr>
          <w:rFonts w:cs="Arial"/>
        </w:rPr>
        <w:t xml:space="preserve"> to be a key priority to improve the EDI understanding of academic staff and to provide practical support in promoting diversity in the curriculum.  The inspection report acknowledged that EDI is at the heart of the college, that equality is well promoted, and makes particular reference to </w:t>
      </w:r>
      <w:r w:rsidRPr="000F4604">
        <w:rPr>
          <w:rFonts w:cs="Arial"/>
          <w:color w:val="000000"/>
        </w:rPr>
        <w:t xml:space="preserve">the work undertaken on monitoring performance and subsequent action which has had a positive impact on the reduction and closure of achievement gaps.  However Ofsted concluded that work with the curriculum had not been fully effective as inspectors found that too many opportunities to naturally promote diversity were missed during the inspection week. </w:t>
      </w:r>
      <w:r w:rsidR="00447023" w:rsidRPr="000F4604">
        <w:rPr>
          <w:rFonts w:cs="Arial"/>
          <w:color w:val="000000"/>
        </w:rPr>
        <w:t>C</w:t>
      </w:r>
      <w:r w:rsidRPr="000F4604">
        <w:rPr>
          <w:rFonts w:cs="Arial"/>
          <w:color w:val="000000"/>
        </w:rPr>
        <w:t>ontinuing to work on this action point gained additional momentum in 2015</w:t>
      </w:r>
      <w:r w:rsidR="00CD785F">
        <w:rPr>
          <w:rFonts w:cs="Arial"/>
          <w:color w:val="000000"/>
        </w:rPr>
        <w:t xml:space="preserve"> and improvements have been made </w:t>
      </w:r>
      <w:r w:rsidR="00CD785F" w:rsidRPr="00CD785F">
        <w:rPr>
          <w:rFonts w:cs="Arial"/>
          <w:color w:val="000000" w:themeColor="text1"/>
        </w:rPr>
        <w:t>which are</w:t>
      </w:r>
      <w:r w:rsidR="00CD785F">
        <w:rPr>
          <w:rFonts w:cs="Arial"/>
          <w:color w:val="000000" w:themeColor="text1"/>
        </w:rPr>
        <w:t xml:space="preserve"> evidenced in observation outcomes</w:t>
      </w:r>
      <w:r w:rsidRPr="000F4604">
        <w:rPr>
          <w:rFonts w:cs="Arial"/>
          <w:color w:val="000000"/>
        </w:rPr>
        <w:t>.</w:t>
      </w:r>
    </w:p>
    <w:p w:rsidR="00EA4F0B" w:rsidRPr="000F4604" w:rsidRDefault="00EA4F0B" w:rsidP="00681CD4">
      <w:pPr>
        <w:spacing w:after="0" w:line="240" w:lineRule="auto"/>
        <w:jc w:val="both"/>
        <w:rPr>
          <w:rFonts w:cs="Arial"/>
          <w:b/>
        </w:rPr>
      </w:pPr>
    </w:p>
    <w:p w:rsidR="00EA4F0B" w:rsidRPr="000F4604" w:rsidRDefault="00EA4F0B" w:rsidP="00681CD4">
      <w:pPr>
        <w:spacing w:after="0" w:line="240" w:lineRule="auto"/>
        <w:rPr>
          <w:rFonts w:cs="Arial"/>
        </w:rPr>
      </w:pPr>
      <w:r w:rsidRPr="000F4604">
        <w:rPr>
          <w:rFonts w:cs="Arial"/>
        </w:rPr>
        <w:t>The publication of a revised Common Inspection Framework in September 2015</w:t>
      </w:r>
      <w:r w:rsidR="00740859">
        <w:rPr>
          <w:rFonts w:cs="Arial"/>
        </w:rPr>
        <w:t>,</w:t>
      </w:r>
      <w:r w:rsidRPr="000F4604">
        <w:rPr>
          <w:rFonts w:cs="Arial"/>
        </w:rPr>
        <w:t xml:space="preserve"> includ</w:t>
      </w:r>
      <w:r w:rsidR="00CD785F">
        <w:rPr>
          <w:rFonts w:cs="Arial"/>
        </w:rPr>
        <w:t>ing</w:t>
      </w:r>
      <w:r w:rsidRPr="000F4604">
        <w:rPr>
          <w:rFonts w:cs="Arial"/>
        </w:rPr>
        <w:t xml:space="preserve"> a new judgment on Personal Development, Behaviour and Welfare</w:t>
      </w:r>
      <w:r w:rsidR="00740859">
        <w:rPr>
          <w:rFonts w:cs="Arial"/>
        </w:rPr>
        <w:t>,</w:t>
      </w:r>
      <w:r w:rsidRPr="000F4604">
        <w:rPr>
          <w:rFonts w:cs="Arial"/>
        </w:rPr>
        <w:t xml:space="preserve"> </w:t>
      </w:r>
      <w:r w:rsidR="00AF7C48" w:rsidRPr="000F4604">
        <w:rPr>
          <w:rFonts w:cs="Arial"/>
        </w:rPr>
        <w:t xml:space="preserve">prompted </w:t>
      </w:r>
      <w:r w:rsidRPr="000F4604">
        <w:rPr>
          <w:rFonts w:cs="Arial"/>
        </w:rPr>
        <w:t xml:space="preserve">work to develop resources/training on Fundamental British Values as well as supporting the </w:t>
      </w:r>
      <w:r w:rsidR="00CD785F">
        <w:rPr>
          <w:rFonts w:cs="Arial"/>
        </w:rPr>
        <w:t>implem</w:t>
      </w:r>
      <w:r w:rsidR="009A2E09">
        <w:rPr>
          <w:rFonts w:cs="Arial"/>
        </w:rPr>
        <w:t>en</w:t>
      </w:r>
      <w:r w:rsidR="00CD785F">
        <w:rPr>
          <w:rFonts w:cs="Arial"/>
        </w:rPr>
        <w:t xml:space="preserve">tation of the </w:t>
      </w:r>
      <w:r w:rsidRPr="000F4604">
        <w:rPr>
          <w:rFonts w:cs="Arial"/>
        </w:rPr>
        <w:t xml:space="preserve">Prevent </w:t>
      </w:r>
      <w:r w:rsidR="00CD785F">
        <w:rPr>
          <w:rFonts w:cs="Arial"/>
        </w:rPr>
        <w:t>Duty</w:t>
      </w:r>
      <w:r w:rsidRPr="000F4604">
        <w:rPr>
          <w:rFonts w:cs="Arial"/>
        </w:rPr>
        <w:t>.</w:t>
      </w:r>
      <w:r w:rsidR="00CD785F">
        <w:rPr>
          <w:rFonts w:cs="Arial"/>
        </w:rPr>
        <w:t xml:space="preserve">  </w:t>
      </w:r>
      <w:r w:rsidR="00740859">
        <w:rPr>
          <w:rFonts w:cs="Arial"/>
        </w:rPr>
        <w:t>Progress</w:t>
      </w:r>
      <w:r w:rsidR="00CD785F">
        <w:rPr>
          <w:rFonts w:cs="Arial"/>
        </w:rPr>
        <w:t xml:space="preserve"> </w:t>
      </w:r>
      <w:r w:rsidR="00740859">
        <w:rPr>
          <w:rFonts w:cs="Arial"/>
        </w:rPr>
        <w:t>with</w:t>
      </w:r>
      <w:r w:rsidR="00CD785F">
        <w:rPr>
          <w:rFonts w:cs="Arial"/>
        </w:rPr>
        <w:t xml:space="preserve"> British Values to date has included work with a Task and Finish group to get British Values em</w:t>
      </w:r>
      <w:r w:rsidR="009A2E09">
        <w:rPr>
          <w:rFonts w:cs="Arial"/>
        </w:rPr>
        <w:t xml:space="preserve">bedded in the classroom, a poster competition to raise awareness and the introduction of an on-line learning package. Learning walks undertaken since January indicate </w:t>
      </w:r>
      <w:r w:rsidR="00740859">
        <w:rPr>
          <w:rFonts w:cs="Arial"/>
        </w:rPr>
        <w:t xml:space="preserve">that </w:t>
      </w:r>
      <w:r w:rsidR="009A2E09">
        <w:rPr>
          <w:rFonts w:cs="Arial"/>
        </w:rPr>
        <w:t>the learners generally have a good understanding of British Values.</w:t>
      </w:r>
    </w:p>
    <w:p w:rsidR="00EA4F0B" w:rsidRPr="000F4604" w:rsidRDefault="00EA4F0B" w:rsidP="00681CD4">
      <w:pPr>
        <w:spacing w:after="0" w:line="240" w:lineRule="auto"/>
        <w:jc w:val="both"/>
        <w:rPr>
          <w:rFonts w:cs="Arial"/>
          <w:b/>
        </w:rPr>
      </w:pPr>
    </w:p>
    <w:p w:rsidR="00D83A0E" w:rsidRPr="000F4604" w:rsidRDefault="001B4485" w:rsidP="00681CD4">
      <w:pPr>
        <w:spacing w:after="0" w:line="240" w:lineRule="auto"/>
        <w:jc w:val="both"/>
        <w:rPr>
          <w:rFonts w:cs="Arial"/>
          <w:b/>
        </w:rPr>
      </w:pPr>
      <w:r w:rsidRPr="000F4604">
        <w:rPr>
          <w:rFonts w:cs="Arial"/>
          <w:b/>
        </w:rPr>
        <w:t>7</w:t>
      </w:r>
      <w:r w:rsidR="00D83A0E" w:rsidRPr="000F4604">
        <w:rPr>
          <w:rFonts w:cs="Arial"/>
          <w:b/>
        </w:rPr>
        <w:t>. The EDI Group</w:t>
      </w:r>
    </w:p>
    <w:p w:rsidR="008320C4" w:rsidRPr="000F4604" w:rsidRDefault="00692E69" w:rsidP="00681CD4">
      <w:pPr>
        <w:spacing w:after="0" w:line="240" w:lineRule="auto"/>
        <w:jc w:val="both"/>
        <w:rPr>
          <w:rFonts w:cs="Arial"/>
          <w:color w:val="000000" w:themeColor="text1"/>
        </w:rPr>
      </w:pPr>
      <w:r w:rsidRPr="000F4604">
        <w:rPr>
          <w:rFonts w:cs="Arial"/>
        </w:rPr>
        <w:t xml:space="preserve">The EDI </w:t>
      </w:r>
      <w:r w:rsidR="00740859">
        <w:rPr>
          <w:rFonts w:cs="Arial"/>
        </w:rPr>
        <w:t>g</w:t>
      </w:r>
      <w:r w:rsidR="00ED43E8" w:rsidRPr="000F4604">
        <w:rPr>
          <w:rFonts w:cs="Arial"/>
        </w:rPr>
        <w:t>roup continues to meet regularly (5 times a year). Attendance and participation is good, as is ownership of the EDI agenda</w:t>
      </w:r>
      <w:r w:rsidR="00ED43E8" w:rsidRPr="000F4604">
        <w:rPr>
          <w:rFonts w:cs="Arial"/>
          <w:color w:val="000000" w:themeColor="text1"/>
        </w:rPr>
        <w:t xml:space="preserve">. </w:t>
      </w:r>
      <w:r w:rsidR="008320C4" w:rsidRPr="000F4604">
        <w:rPr>
          <w:rFonts w:cs="Arial"/>
          <w:color w:val="000000" w:themeColor="text1"/>
        </w:rPr>
        <w:t>Committee members</w:t>
      </w:r>
      <w:r w:rsidR="00447023" w:rsidRPr="000F4604">
        <w:rPr>
          <w:rFonts w:cs="Arial"/>
          <w:color w:val="000000" w:themeColor="text1"/>
        </w:rPr>
        <w:t>,</w:t>
      </w:r>
      <w:r w:rsidR="008320C4" w:rsidRPr="000F4604">
        <w:rPr>
          <w:rFonts w:cs="Arial"/>
          <w:color w:val="000000" w:themeColor="text1"/>
        </w:rPr>
        <w:t xml:space="preserve"> represent</w:t>
      </w:r>
      <w:r w:rsidR="00447023" w:rsidRPr="000F4604">
        <w:rPr>
          <w:rFonts w:cs="Arial"/>
          <w:color w:val="000000" w:themeColor="text1"/>
        </w:rPr>
        <w:t>ing</w:t>
      </w:r>
      <w:r w:rsidR="008320C4" w:rsidRPr="000F4604">
        <w:rPr>
          <w:rFonts w:cs="Arial"/>
          <w:color w:val="000000" w:themeColor="text1"/>
        </w:rPr>
        <w:t xml:space="preserve"> a broad r</w:t>
      </w:r>
      <w:r w:rsidRPr="000F4604">
        <w:rPr>
          <w:rFonts w:cs="Arial"/>
          <w:color w:val="000000" w:themeColor="text1"/>
        </w:rPr>
        <w:t>ange of C</w:t>
      </w:r>
      <w:r w:rsidR="008320C4" w:rsidRPr="000F4604">
        <w:rPr>
          <w:rFonts w:cs="Arial"/>
          <w:color w:val="000000" w:themeColor="text1"/>
        </w:rPr>
        <w:t xml:space="preserve">ollege </w:t>
      </w:r>
      <w:r w:rsidRPr="000F4604">
        <w:rPr>
          <w:rFonts w:cs="Arial"/>
          <w:color w:val="000000" w:themeColor="text1"/>
        </w:rPr>
        <w:t>academic and business areas</w:t>
      </w:r>
      <w:r w:rsidR="00447023" w:rsidRPr="000F4604">
        <w:rPr>
          <w:rFonts w:cs="Arial"/>
          <w:color w:val="000000" w:themeColor="text1"/>
        </w:rPr>
        <w:t xml:space="preserve">, </w:t>
      </w:r>
      <w:r w:rsidR="008320C4" w:rsidRPr="000F4604">
        <w:rPr>
          <w:rFonts w:cs="Arial"/>
          <w:color w:val="000000" w:themeColor="text1"/>
        </w:rPr>
        <w:t xml:space="preserve">work together to set EDI objectives which are monitored by </w:t>
      </w:r>
      <w:r w:rsidR="009A2E09">
        <w:rPr>
          <w:rFonts w:cs="Arial"/>
          <w:color w:val="000000" w:themeColor="text1"/>
        </w:rPr>
        <w:t>the EDI Advisor</w:t>
      </w:r>
      <w:r w:rsidR="008320C4" w:rsidRPr="000F4604">
        <w:rPr>
          <w:rFonts w:cs="Arial"/>
          <w:color w:val="000000" w:themeColor="text1"/>
        </w:rPr>
        <w:t>.</w:t>
      </w:r>
    </w:p>
    <w:p w:rsidR="008320C4" w:rsidRPr="000F4604" w:rsidRDefault="008320C4" w:rsidP="00681CD4">
      <w:pPr>
        <w:spacing w:after="0" w:line="240" w:lineRule="auto"/>
        <w:jc w:val="both"/>
        <w:rPr>
          <w:rFonts w:cs="Arial"/>
        </w:rPr>
      </w:pPr>
    </w:p>
    <w:p w:rsidR="00ED43E8" w:rsidRPr="000F4604" w:rsidRDefault="00ED43E8" w:rsidP="00681CD4">
      <w:pPr>
        <w:pStyle w:val="Default"/>
        <w:jc w:val="both"/>
        <w:rPr>
          <w:sz w:val="22"/>
          <w:szCs w:val="22"/>
        </w:rPr>
      </w:pPr>
      <w:r w:rsidRPr="000F4604">
        <w:rPr>
          <w:sz w:val="22"/>
          <w:szCs w:val="22"/>
        </w:rPr>
        <w:t xml:space="preserve">The EDI </w:t>
      </w:r>
      <w:r w:rsidR="00740859">
        <w:rPr>
          <w:sz w:val="22"/>
          <w:szCs w:val="22"/>
        </w:rPr>
        <w:t>g</w:t>
      </w:r>
      <w:r w:rsidRPr="000F4604">
        <w:rPr>
          <w:sz w:val="22"/>
          <w:szCs w:val="22"/>
        </w:rPr>
        <w:t>roup has met its terms of reference in 201</w:t>
      </w:r>
      <w:r w:rsidR="000773BE" w:rsidRPr="000F4604">
        <w:rPr>
          <w:sz w:val="22"/>
          <w:szCs w:val="22"/>
        </w:rPr>
        <w:t>5</w:t>
      </w:r>
      <w:r w:rsidRPr="000F4604">
        <w:rPr>
          <w:sz w:val="22"/>
          <w:szCs w:val="22"/>
        </w:rPr>
        <w:t xml:space="preserve"> which </w:t>
      </w:r>
      <w:r w:rsidR="00692E69" w:rsidRPr="000F4604">
        <w:rPr>
          <w:sz w:val="22"/>
          <w:szCs w:val="22"/>
        </w:rPr>
        <w:t>were to:</w:t>
      </w:r>
    </w:p>
    <w:p w:rsidR="00ED43E8" w:rsidRPr="000F4604" w:rsidRDefault="00ED43E8" w:rsidP="00681CD4">
      <w:pPr>
        <w:pStyle w:val="Default"/>
        <w:jc w:val="both"/>
        <w:rPr>
          <w:sz w:val="22"/>
          <w:szCs w:val="22"/>
        </w:rPr>
      </w:pPr>
    </w:p>
    <w:p w:rsidR="00ED43E8" w:rsidRDefault="00ED43E8" w:rsidP="00681CD4">
      <w:pPr>
        <w:numPr>
          <w:ilvl w:val="0"/>
          <w:numId w:val="4"/>
        </w:numPr>
        <w:spacing w:after="0" w:line="240" w:lineRule="auto"/>
        <w:jc w:val="both"/>
        <w:rPr>
          <w:rFonts w:cs="Arial"/>
        </w:rPr>
      </w:pPr>
      <w:r w:rsidRPr="000F4604">
        <w:rPr>
          <w:rFonts w:cs="Arial"/>
        </w:rPr>
        <w:t>Support the implementation of the Equality and Diversity Policy across the College.</w:t>
      </w:r>
    </w:p>
    <w:p w:rsidR="009A2E09" w:rsidRDefault="009A2E09" w:rsidP="009A2E09">
      <w:pPr>
        <w:spacing w:after="0" w:line="240" w:lineRule="auto"/>
        <w:ind w:left="720"/>
        <w:jc w:val="both"/>
        <w:rPr>
          <w:rFonts w:cs="Arial"/>
        </w:rPr>
      </w:pPr>
    </w:p>
    <w:p w:rsidR="00ED43E8" w:rsidRDefault="00ED43E8" w:rsidP="00681CD4">
      <w:pPr>
        <w:numPr>
          <w:ilvl w:val="0"/>
          <w:numId w:val="4"/>
        </w:numPr>
        <w:spacing w:after="0" w:line="240" w:lineRule="auto"/>
        <w:jc w:val="both"/>
        <w:rPr>
          <w:rFonts w:cs="Arial"/>
        </w:rPr>
      </w:pPr>
      <w:r w:rsidRPr="000F4604">
        <w:rPr>
          <w:rFonts w:cs="Arial"/>
        </w:rPr>
        <w:t>Monitor the College’s progress towards agreed targets set out in the EDI Action Plan.</w:t>
      </w:r>
    </w:p>
    <w:p w:rsidR="004420D5" w:rsidRDefault="004420D5" w:rsidP="004420D5">
      <w:pPr>
        <w:spacing w:after="0" w:line="240" w:lineRule="auto"/>
        <w:ind w:left="720"/>
        <w:jc w:val="both"/>
        <w:rPr>
          <w:rFonts w:cs="Arial"/>
        </w:rPr>
      </w:pPr>
    </w:p>
    <w:p w:rsidR="00ED43E8" w:rsidRDefault="00ED43E8" w:rsidP="00681CD4">
      <w:pPr>
        <w:numPr>
          <w:ilvl w:val="0"/>
          <w:numId w:val="4"/>
        </w:numPr>
        <w:spacing w:after="0" w:line="240" w:lineRule="auto"/>
        <w:jc w:val="both"/>
        <w:rPr>
          <w:rFonts w:cs="Arial"/>
        </w:rPr>
      </w:pPr>
      <w:r w:rsidRPr="000F4604">
        <w:rPr>
          <w:rFonts w:cs="Arial"/>
        </w:rPr>
        <w:t>Mo</w:t>
      </w:r>
      <w:r w:rsidR="00692E69" w:rsidRPr="000F4604">
        <w:rPr>
          <w:rFonts w:cs="Arial"/>
        </w:rPr>
        <w:t xml:space="preserve">nitor external developments in </w:t>
      </w:r>
      <w:r w:rsidRPr="000F4604">
        <w:rPr>
          <w:rFonts w:cs="Arial"/>
        </w:rPr>
        <w:t>equality and diversity including new legislation and new policy initia</w:t>
      </w:r>
      <w:r w:rsidR="00692E69" w:rsidRPr="000F4604">
        <w:rPr>
          <w:rFonts w:cs="Arial"/>
        </w:rPr>
        <w:t>tives relevant to the FE sector</w:t>
      </w:r>
      <w:r w:rsidRPr="000F4604">
        <w:rPr>
          <w:rFonts w:cs="Arial"/>
        </w:rPr>
        <w:t xml:space="preserve"> and make recommendations for actions</w:t>
      </w:r>
      <w:r w:rsidR="00692E69" w:rsidRPr="000F4604">
        <w:rPr>
          <w:rFonts w:cs="Arial"/>
        </w:rPr>
        <w:t>.</w:t>
      </w:r>
    </w:p>
    <w:p w:rsidR="004420D5" w:rsidRDefault="004420D5" w:rsidP="004420D5">
      <w:pPr>
        <w:spacing w:after="0" w:line="240" w:lineRule="auto"/>
        <w:ind w:left="720"/>
        <w:jc w:val="both"/>
        <w:rPr>
          <w:rFonts w:cs="Arial"/>
        </w:rPr>
      </w:pPr>
    </w:p>
    <w:p w:rsidR="009A2E09" w:rsidRDefault="00ED43E8" w:rsidP="00681CD4">
      <w:pPr>
        <w:numPr>
          <w:ilvl w:val="0"/>
          <w:numId w:val="4"/>
        </w:numPr>
        <w:spacing w:after="0" w:line="240" w:lineRule="auto"/>
        <w:jc w:val="both"/>
        <w:rPr>
          <w:rFonts w:cs="Arial"/>
        </w:rPr>
      </w:pPr>
      <w:r w:rsidRPr="009A2E09">
        <w:rPr>
          <w:rFonts w:cs="Arial"/>
        </w:rPr>
        <w:t>Monitor and evaluate the student data in relation to enrolment, retention, achievement, progression and disciplinary actions by</w:t>
      </w:r>
      <w:r w:rsidR="00446D14" w:rsidRPr="009A2E09">
        <w:rPr>
          <w:rFonts w:cs="Arial"/>
        </w:rPr>
        <w:t xml:space="preserve"> </w:t>
      </w:r>
      <w:r w:rsidR="00740859">
        <w:rPr>
          <w:rFonts w:cs="Arial"/>
        </w:rPr>
        <w:t>p</w:t>
      </w:r>
      <w:r w:rsidRPr="009A2E09">
        <w:rPr>
          <w:rFonts w:cs="Arial"/>
        </w:rPr>
        <w:t xml:space="preserve">rotected </w:t>
      </w:r>
      <w:r w:rsidR="00740859">
        <w:rPr>
          <w:rFonts w:cs="Arial"/>
        </w:rPr>
        <w:t>c</w:t>
      </w:r>
      <w:r w:rsidRPr="009A2E09">
        <w:rPr>
          <w:rFonts w:cs="Arial"/>
        </w:rPr>
        <w:t>haracteristics.</w:t>
      </w:r>
    </w:p>
    <w:p w:rsidR="009A2E09" w:rsidRDefault="009A2E09" w:rsidP="009A2E09">
      <w:pPr>
        <w:pStyle w:val="ListParagraph"/>
        <w:rPr>
          <w:rFonts w:cs="Arial"/>
        </w:rPr>
      </w:pPr>
    </w:p>
    <w:p w:rsidR="00ED43E8" w:rsidRDefault="00ED43E8" w:rsidP="00681CD4">
      <w:pPr>
        <w:numPr>
          <w:ilvl w:val="0"/>
          <w:numId w:val="4"/>
        </w:numPr>
        <w:spacing w:after="0" w:line="240" w:lineRule="auto"/>
        <w:jc w:val="both"/>
        <w:rPr>
          <w:rFonts w:cs="Arial"/>
        </w:rPr>
      </w:pPr>
      <w:r w:rsidRPr="009A2E09">
        <w:rPr>
          <w:rFonts w:cs="Arial"/>
        </w:rPr>
        <w:t>Monitor and evaluate data on the College in relation to applications for College job vacancies, promotion, staff development and disciplinary actions in relation to the protected characteristics.</w:t>
      </w:r>
    </w:p>
    <w:p w:rsidR="00832D7F" w:rsidRDefault="00832D7F" w:rsidP="00832D7F">
      <w:pPr>
        <w:spacing w:after="0" w:line="240" w:lineRule="auto"/>
        <w:ind w:left="720"/>
        <w:jc w:val="both"/>
        <w:rPr>
          <w:rFonts w:cs="Arial"/>
        </w:rPr>
      </w:pPr>
    </w:p>
    <w:p w:rsidR="00ED43E8" w:rsidRDefault="00ED43E8" w:rsidP="00681CD4">
      <w:pPr>
        <w:numPr>
          <w:ilvl w:val="0"/>
          <w:numId w:val="4"/>
        </w:numPr>
        <w:spacing w:after="0" w:line="240" w:lineRule="auto"/>
        <w:jc w:val="both"/>
        <w:rPr>
          <w:rFonts w:cs="Arial"/>
        </w:rPr>
      </w:pPr>
      <w:r w:rsidRPr="000F4604">
        <w:rPr>
          <w:rFonts w:cs="Arial"/>
        </w:rPr>
        <w:t>Commission and facilitate internal task groups or external consultants to develop specific aspects of equality and diversity work.  For example, qualitative research to explore achievement gaps.</w:t>
      </w:r>
    </w:p>
    <w:p w:rsidR="009A2E09" w:rsidRDefault="009A2E09" w:rsidP="009A2E09">
      <w:pPr>
        <w:spacing w:after="0" w:line="240" w:lineRule="auto"/>
        <w:ind w:left="720"/>
        <w:jc w:val="both"/>
        <w:rPr>
          <w:rFonts w:cs="Arial"/>
        </w:rPr>
      </w:pPr>
    </w:p>
    <w:p w:rsidR="00ED43E8" w:rsidRPr="000F4604" w:rsidRDefault="00ED43E8" w:rsidP="00681CD4">
      <w:pPr>
        <w:numPr>
          <w:ilvl w:val="0"/>
          <w:numId w:val="4"/>
        </w:numPr>
        <w:spacing w:after="0" w:line="240" w:lineRule="auto"/>
        <w:jc w:val="both"/>
        <w:rPr>
          <w:rFonts w:cs="Arial"/>
        </w:rPr>
      </w:pPr>
      <w:r w:rsidRPr="000F4604">
        <w:rPr>
          <w:rFonts w:cs="Arial"/>
        </w:rPr>
        <w:t>Actively encourage feedback from students, staff and external organisation</w:t>
      </w:r>
      <w:r w:rsidR="00692E69" w:rsidRPr="000F4604">
        <w:rPr>
          <w:rFonts w:cs="Arial"/>
        </w:rPr>
        <w:t>s</w:t>
      </w:r>
      <w:r w:rsidRPr="000F4604">
        <w:rPr>
          <w:rFonts w:cs="Arial"/>
        </w:rPr>
        <w:t xml:space="preserve"> on any aspects of equal opportunities work.</w:t>
      </w:r>
    </w:p>
    <w:p w:rsidR="00BF66C0" w:rsidRPr="000F4604" w:rsidRDefault="00BF66C0" w:rsidP="00681CD4">
      <w:pPr>
        <w:pStyle w:val="ListParagraph"/>
        <w:spacing w:after="0" w:line="240" w:lineRule="auto"/>
        <w:rPr>
          <w:rFonts w:ascii="Arial" w:hAnsi="Arial" w:cs="Arial"/>
        </w:rPr>
      </w:pPr>
    </w:p>
    <w:p w:rsidR="00BF66C0" w:rsidRDefault="00BF66C0" w:rsidP="00681CD4">
      <w:pPr>
        <w:spacing w:after="0" w:line="240" w:lineRule="auto"/>
        <w:rPr>
          <w:rFonts w:cs="Arial"/>
        </w:rPr>
      </w:pPr>
      <w:r w:rsidRPr="000F4604">
        <w:rPr>
          <w:rFonts w:cs="Arial"/>
        </w:rPr>
        <w:t xml:space="preserve">Key achievements </w:t>
      </w:r>
      <w:r w:rsidR="00372B53" w:rsidRPr="000F4604">
        <w:rPr>
          <w:rFonts w:cs="Arial"/>
        </w:rPr>
        <w:t xml:space="preserve">and progress </w:t>
      </w:r>
      <w:r w:rsidR="009A2E09">
        <w:rPr>
          <w:rFonts w:cs="Arial"/>
        </w:rPr>
        <w:t>last year</w:t>
      </w:r>
      <w:r w:rsidRPr="000F4604">
        <w:rPr>
          <w:rFonts w:cs="Arial"/>
        </w:rPr>
        <w:t xml:space="preserve"> include:</w:t>
      </w:r>
    </w:p>
    <w:p w:rsidR="00E57CD7" w:rsidRPr="000F4604" w:rsidRDefault="00E57CD7" w:rsidP="00681CD4">
      <w:pPr>
        <w:spacing w:after="0" w:line="240" w:lineRule="auto"/>
        <w:rPr>
          <w:rFonts w:cs="Arial"/>
        </w:rPr>
      </w:pPr>
    </w:p>
    <w:p w:rsidR="00BF66C0" w:rsidRDefault="00BF66C0" w:rsidP="00681CD4">
      <w:pPr>
        <w:numPr>
          <w:ilvl w:val="0"/>
          <w:numId w:val="14"/>
        </w:numPr>
        <w:spacing w:after="0" w:line="240" w:lineRule="auto"/>
        <w:ind w:left="714" w:hanging="357"/>
        <w:rPr>
          <w:rStyle w:val="Hyperlink"/>
          <w:rFonts w:cs="Arial"/>
          <w:color w:val="auto"/>
          <w:u w:val="none"/>
        </w:rPr>
      </w:pPr>
      <w:r w:rsidRPr="000F4604">
        <w:rPr>
          <w:rFonts w:cs="Arial"/>
        </w:rPr>
        <w:t xml:space="preserve">Identification of gaps in performance by groups of learners within the college with subsequent action to investigate e.g. </w:t>
      </w:r>
      <w:hyperlink r:id="rId11" w:history="1">
        <w:r w:rsidRPr="000F4604">
          <w:rPr>
            <w:rStyle w:val="Hyperlink"/>
            <w:rFonts w:cs="Arial"/>
            <w:color w:val="auto"/>
            <w:u w:val="none"/>
          </w:rPr>
          <w:t>White and Black Caribbean learners</w:t>
        </w:r>
      </w:hyperlink>
      <w:r w:rsidR="00372B53" w:rsidRPr="000F4604">
        <w:rPr>
          <w:rStyle w:val="Hyperlink"/>
          <w:rFonts w:cs="Arial"/>
          <w:color w:val="auto"/>
          <w:u w:val="none"/>
        </w:rPr>
        <w:t>.</w:t>
      </w:r>
    </w:p>
    <w:p w:rsidR="009A2E09" w:rsidRPr="000F4604" w:rsidRDefault="009A2E09" w:rsidP="009A2E09">
      <w:pPr>
        <w:spacing w:after="0" w:line="240" w:lineRule="auto"/>
        <w:ind w:left="714"/>
        <w:rPr>
          <w:rFonts w:cs="Arial"/>
        </w:rPr>
      </w:pPr>
    </w:p>
    <w:p w:rsidR="00BF66C0" w:rsidRDefault="00BF66C0" w:rsidP="00681CD4">
      <w:pPr>
        <w:numPr>
          <w:ilvl w:val="0"/>
          <w:numId w:val="14"/>
        </w:numPr>
        <w:spacing w:after="0" w:line="240" w:lineRule="auto"/>
        <w:ind w:left="714" w:hanging="357"/>
        <w:rPr>
          <w:rFonts w:cs="Arial"/>
        </w:rPr>
      </w:pPr>
      <w:r w:rsidRPr="000F4604">
        <w:rPr>
          <w:rFonts w:cs="Arial"/>
        </w:rPr>
        <w:t xml:space="preserve">Design of creative opportunities to foster good relations and improve the college experience to diverse learners. For example: Horizons’ students have worked with Hair &amp; Beauty (Pamper days) and Childcare &amp; Early years; International students have worked with Engineering and Construction students </w:t>
      </w:r>
      <w:r w:rsidR="00372B53" w:rsidRPr="000F4604">
        <w:rPr>
          <w:rFonts w:cs="Arial"/>
        </w:rPr>
        <w:t>e.g.</w:t>
      </w:r>
      <w:r w:rsidRPr="000F4604">
        <w:rPr>
          <w:rFonts w:cs="Arial"/>
        </w:rPr>
        <w:t xml:space="preserve"> Rose Welding event to increase understanding between groups; support has also been offered to curriculum teams to encourage greater understanding and acceptance of pre-16 students in college</w:t>
      </w:r>
      <w:r w:rsidR="00372B53" w:rsidRPr="000F4604">
        <w:rPr>
          <w:rFonts w:cs="Arial"/>
        </w:rPr>
        <w:t>.</w:t>
      </w:r>
    </w:p>
    <w:p w:rsidR="004420D5" w:rsidRPr="004420D5" w:rsidRDefault="004420D5" w:rsidP="004420D5">
      <w:pPr>
        <w:spacing w:after="0" w:line="240" w:lineRule="auto"/>
        <w:ind w:left="714"/>
        <w:rPr>
          <w:rFonts w:cs="Arial"/>
          <w:bCs/>
        </w:rPr>
      </w:pPr>
    </w:p>
    <w:p w:rsidR="00BF66C0" w:rsidRDefault="00BF66C0" w:rsidP="00681CD4">
      <w:pPr>
        <w:numPr>
          <w:ilvl w:val="0"/>
          <w:numId w:val="14"/>
        </w:numPr>
        <w:spacing w:after="0" w:line="240" w:lineRule="auto"/>
        <w:ind w:left="714" w:hanging="357"/>
        <w:rPr>
          <w:rFonts w:cs="Arial"/>
          <w:bCs/>
        </w:rPr>
      </w:pPr>
      <w:r w:rsidRPr="000F4604">
        <w:rPr>
          <w:rFonts w:cs="Arial"/>
          <w:color w:val="000000"/>
        </w:rPr>
        <w:t xml:space="preserve">Advancing the Prevent Duty, promoting British Values and continuing to promote awareness of all cultures; with the </w:t>
      </w:r>
      <w:r w:rsidRPr="000F4604">
        <w:rPr>
          <w:rFonts w:cs="Arial"/>
          <w:bCs/>
        </w:rPr>
        <w:t xml:space="preserve">Prevent Action plan </w:t>
      </w:r>
      <w:r w:rsidR="00372B53" w:rsidRPr="000F4604">
        <w:rPr>
          <w:rFonts w:cs="Arial"/>
          <w:bCs/>
        </w:rPr>
        <w:t xml:space="preserve">and </w:t>
      </w:r>
      <w:r w:rsidRPr="000F4604">
        <w:rPr>
          <w:rFonts w:cs="Arial"/>
          <w:bCs/>
        </w:rPr>
        <w:t>training package</w:t>
      </w:r>
      <w:r w:rsidR="00372B53" w:rsidRPr="000F4604">
        <w:rPr>
          <w:rFonts w:cs="Arial"/>
          <w:bCs/>
        </w:rPr>
        <w:t>s</w:t>
      </w:r>
      <w:r w:rsidRPr="000F4604">
        <w:rPr>
          <w:rFonts w:cs="Arial"/>
          <w:bCs/>
        </w:rPr>
        <w:t xml:space="preserve"> </w:t>
      </w:r>
      <w:r w:rsidR="00690D3C" w:rsidRPr="000F4604">
        <w:rPr>
          <w:rFonts w:cs="Arial"/>
          <w:bCs/>
        </w:rPr>
        <w:t xml:space="preserve">in place </w:t>
      </w:r>
      <w:r w:rsidRPr="000F4604">
        <w:rPr>
          <w:rFonts w:cs="Arial"/>
          <w:bCs/>
        </w:rPr>
        <w:t xml:space="preserve">to clarify the college’s duty to </w:t>
      </w:r>
      <w:r w:rsidR="00372B53" w:rsidRPr="000F4604">
        <w:rPr>
          <w:rFonts w:cs="Arial"/>
          <w:bCs/>
        </w:rPr>
        <w:t xml:space="preserve">prevent radicalisation and </w:t>
      </w:r>
      <w:r w:rsidRPr="000F4604">
        <w:rPr>
          <w:rFonts w:cs="Arial"/>
          <w:bCs/>
        </w:rPr>
        <w:t>promote British Values</w:t>
      </w:r>
      <w:r w:rsidR="00372B53" w:rsidRPr="000F4604">
        <w:rPr>
          <w:rFonts w:cs="Arial"/>
          <w:bCs/>
        </w:rPr>
        <w:t xml:space="preserve"> launched in the autumn term of 2015.</w:t>
      </w:r>
    </w:p>
    <w:p w:rsidR="004420D5" w:rsidRPr="004420D5" w:rsidRDefault="004420D5" w:rsidP="004420D5">
      <w:pPr>
        <w:spacing w:after="0" w:line="240" w:lineRule="auto"/>
        <w:ind w:left="714"/>
        <w:rPr>
          <w:rFonts w:cs="Arial"/>
          <w:bCs/>
        </w:rPr>
      </w:pPr>
    </w:p>
    <w:p w:rsidR="00BF66C0" w:rsidRPr="009A2E09" w:rsidRDefault="00BF66C0" w:rsidP="00681CD4">
      <w:pPr>
        <w:numPr>
          <w:ilvl w:val="0"/>
          <w:numId w:val="14"/>
        </w:numPr>
        <w:spacing w:after="0" w:line="240" w:lineRule="auto"/>
        <w:ind w:left="714" w:hanging="357"/>
        <w:rPr>
          <w:rFonts w:cs="Arial"/>
          <w:bCs/>
        </w:rPr>
      </w:pPr>
      <w:r w:rsidRPr="000F4604">
        <w:rPr>
          <w:rFonts w:cs="Arial"/>
          <w:color w:val="000000"/>
        </w:rPr>
        <w:t xml:space="preserve">Implementing </w:t>
      </w:r>
      <w:r w:rsidR="00690D3C" w:rsidRPr="000F4604">
        <w:rPr>
          <w:rFonts w:cs="Arial"/>
          <w:color w:val="000000"/>
        </w:rPr>
        <w:t>actions</w:t>
      </w:r>
      <w:r w:rsidRPr="000F4604">
        <w:rPr>
          <w:rFonts w:cs="Arial"/>
          <w:color w:val="000000"/>
        </w:rPr>
        <w:t xml:space="preserve"> to embed EDI in </w:t>
      </w:r>
      <w:r w:rsidR="00690D3C" w:rsidRPr="000F4604">
        <w:rPr>
          <w:rFonts w:cs="Arial"/>
          <w:color w:val="000000"/>
        </w:rPr>
        <w:t xml:space="preserve">the College’s </w:t>
      </w:r>
      <w:r w:rsidRPr="000F4604">
        <w:rPr>
          <w:rFonts w:cs="Arial"/>
          <w:color w:val="000000"/>
        </w:rPr>
        <w:t>Employer Responsive provision with a t</w:t>
      </w:r>
      <w:r w:rsidRPr="000F4604">
        <w:rPr>
          <w:rFonts w:cs="Arial"/>
          <w:bCs/>
          <w:color w:val="000000"/>
        </w:rPr>
        <w:t>ask and finish group set up to fully integrate EDI into workplace learning processes. Progress include</w:t>
      </w:r>
      <w:r w:rsidR="00372B53" w:rsidRPr="000F4604">
        <w:rPr>
          <w:rFonts w:cs="Arial"/>
          <w:bCs/>
          <w:color w:val="000000"/>
        </w:rPr>
        <w:t>d</w:t>
      </w:r>
      <w:r w:rsidRPr="000F4604">
        <w:rPr>
          <w:rFonts w:cs="Arial"/>
          <w:bCs/>
          <w:color w:val="000000"/>
        </w:rPr>
        <w:t xml:space="preserve"> a review of the employer handbook, design of an EDI flyer and health check for employers; and work with assessors to ensure EDI is embedded in progress review and assessment tasks</w:t>
      </w:r>
      <w:r w:rsidR="00372B53" w:rsidRPr="000F4604">
        <w:rPr>
          <w:rFonts w:cs="Arial"/>
          <w:bCs/>
          <w:color w:val="000000"/>
        </w:rPr>
        <w:t>.</w:t>
      </w:r>
    </w:p>
    <w:p w:rsidR="004420D5" w:rsidRPr="004420D5" w:rsidRDefault="004420D5" w:rsidP="004420D5">
      <w:pPr>
        <w:spacing w:after="0" w:line="240" w:lineRule="auto"/>
        <w:ind w:left="714"/>
        <w:rPr>
          <w:rFonts w:cs="Arial"/>
          <w:color w:val="000000"/>
        </w:rPr>
      </w:pPr>
    </w:p>
    <w:p w:rsidR="00372B53" w:rsidRPr="009A2E09" w:rsidRDefault="00BF66C0" w:rsidP="00681CD4">
      <w:pPr>
        <w:numPr>
          <w:ilvl w:val="0"/>
          <w:numId w:val="14"/>
        </w:numPr>
        <w:spacing w:after="0" w:line="240" w:lineRule="auto"/>
        <w:ind w:left="714" w:hanging="357"/>
        <w:rPr>
          <w:rFonts w:cs="Arial"/>
          <w:color w:val="000000"/>
        </w:rPr>
      </w:pPr>
      <w:r w:rsidRPr="000F4604">
        <w:rPr>
          <w:rFonts w:cs="Arial"/>
          <w:bCs/>
          <w:color w:val="000000"/>
        </w:rPr>
        <w:t xml:space="preserve">Ensuring International students receive appropriate information, advice and guidance about living and learning in the UK at the beginning of their learning journey; design of a </w:t>
      </w:r>
      <w:r w:rsidRPr="000F4604">
        <w:rPr>
          <w:rFonts w:cs="Arial"/>
          <w:color w:val="1F497D"/>
        </w:rPr>
        <w:t>‘</w:t>
      </w:r>
      <w:r w:rsidRPr="000F4604">
        <w:rPr>
          <w:rFonts w:cs="Arial"/>
        </w:rPr>
        <w:t>Pre-arrival Guide’ for 14-15 including a section called ‘What to Expect When You Arrive at College”</w:t>
      </w:r>
      <w:r w:rsidR="00372B53" w:rsidRPr="000F4604">
        <w:rPr>
          <w:rFonts w:cs="Arial"/>
        </w:rPr>
        <w:t>.</w:t>
      </w:r>
    </w:p>
    <w:p w:rsidR="004420D5" w:rsidRPr="004420D5" w:rsidRDefault="004420D5" w:rsidP="004420D5">
      <w:pPr>
        <w:spacing w:after="0" w:line="240" w:lineRule="auto"/>
        <w:ind w:left="714"/>
        <w:rPr>
          <w:rFonts w:cs="Arial"/>
          <w:color w:val="000000"/>
        </w:rPr>
      </w:pPr>
    </w:p>
    <w:p w:rsidR="00372B53" w:rsidRPr="009A2E09" w:rsidRDefault="00BF66C0" w:rsidP="00681CD4">
      <w:pPr>
        <w:numPr>
          <w:ilvl w:val="0"/>
          <w:numId w:val="14"/>
        </w:numPr>
        <w:spacing w:after="0" w:line="240" w:lineRule="auto"/>
        <w:ind w:left="714" w:hanging="357"/>
        <w:rPr>
          <w:rFonts w:cs="Arial"/>
          <w:color w:val="000000"/>
        </w:rPr>
      </w:pPr>
      <w:r w:rsidRPr="000F4604">
        <w:rPr>
          <w:rFonts w:cs="Arial"/>
        </w:rPr>
        <w:t xml:space="preserve">Publishing a guidance document on </w:t>
      </w:r>
      <w:r w:rsidR="00832D7F">
        <w:rPr>
          <w:rFonts w:cs="Arial"/>
        </w:rPr>
        <w:t>‘</w:t>
      </w:r>
      <w:r w:rsidRPr="000F4604">
        <w:rPr>
          <w:rFonts w:cs="Arial"/>
        </w:rPr>
        <w:t xml:space="preserve">Supporting </w:t>
      </w:r>
      <w:r w:rsidR="00832D7F">
        <w:rPr>
          <w:rFonts w:cs="Arial"/>
        </w:rPr>
        <w:t>t</w:t>
      </w:r>
      <w:r w:rsidRPr="000F4604">
        <w:rPr>
          <w:rFonts w:cs="Arial"/>
        </w:rPr>
        <w:t>rans staff and students</w:t>
      </w:r>
      <w:r w:rsidR="00832D7F">
        <w:rPr>
          <w:rFonts w:cs="Arial"/>
        </w:rPr>
        <w:t>’</w:t>
      </w:r>
      <w:r w:rsidRPr="000F4604">
        <w:rPr>
          <w:rFonts w:cs="Arial"/>
        </w:rPr>
        <w:t xml:space="preserve"> to clarify terminology around gender identity, responsibilities around name/record changes and considerations of practical matters</w:t>
      </w:r>
      <w:r w:rsidR="00372B53" w:rsidRPr="000F4604">
        <w:rPr>
          <w:rFonts w:cs="Arial"/>
        </w:rPr>
        <w:t>.</w:t>
      </w:r>
      <w:r w:rsidRPr="000F4604">
        <w:rPr>
          <w:rFonts w:cs="Arial"/>
        </w:rPr>
        <w:t xml:space="preserve"> </w:t>
      </w:r>
    </w:p>
    <w:p w:rsidR="004420D5" w:rsidRDefault="004420D5" w:rsidP="004420D5">
      <w:pPr>
        <w:spacing w:after="0" w:line="240" w:lineRule="auto"/>
        <w:ind w:left="714"/>
        <w:rPr>
          <w:rFonts w:cs="Arial"/>
          <w:color w:val="000000"/>
        </w:rPr>
      </w:pPr>
    </w:p>
    <w:p w:rsidR="00372B53" w:rsidRDefault="00372B53" w:rsidP="00681CD4">
      <w:pPr>
        <w:numPr>
          <w:ilvl w:val="0"/>
          <w:numId w:val="14"/>
        </w:numPr>
        <w:spacing w:after="0" w:line="240" w:lineRule="auto"/>
        <w:ind w:left="714" w:hanging="357"/>
        <w:rPr>
          <w:rFonts w:cs="Arial"/>
          <w:color w:val="000000"/>
        </w:rPr>
      </w:pPr>
      <w:r w:rsidRPr="000F4604">
        <w:rPr>
          <w:rFonts w:cs="Arial"/>
          <w:color w:val="000000"/>
        </w:rPr>
        <w:t>Reviewing the provision of multi-faith rooms across sites resulting in a refreshed image and rebrand to reflection spaces with guidance on use.</w:t>
      </w:r>
    </w:p>
    <w:p w:rsidR="004420D5" w:rsidRDefault="004420D5" w:rsidP="004420D5">
      <w:pPr>
        <w:spacing w:after="0" w:line="240" w:lineRule="auto"/>
        <w:ind w:left="714"/>
        <w:rPr>
          <w:rFonts w:cs="Arial"/>
          <w:color w:val="000000"/>
        </w:rPr>
      </w:pPr>
    </w:p>
    <w:p w:rsidR="00BF66C0" w:rsidRDefault="00BF66C0" w:rsidP="00681CD4">
      <w:pPr>
        <w:numPr>
          <w:ilvl w:val="0"/>
          <w:numId w:val="14"/>
        </w:numPr>
        <w:spacing w:after="0" w:line="240" w:lineRule="auto"/>
        <w:ind w:left="714" w:hanging="357"/>
        <w:rPr>
          <w:rFonts w:cs="Arial"/>
          <w:color w:val="000000"/>
        </w:rPr>
      </w:pPr>
      <w:r w:rsidRPr="000F4604">
        <w:rPr>
          <w:rFonts w:cs="Arial"/>
          <w:color w:val="000000"/>
        </w:rPr>
        <w:t xml:space="preserve">Publishing guidance on prayer times to ensure that staff and students understand permissible time off. </w:t>
      </w:r>
    </w:p>
    <w:p w:rsidR="004420D5" w:rsidRDefault="004420D5" w:rsidP="004420D5">
      <w:pPr>
        <w:spacing w:after="0" w:line="240" w:lineRule="auto"/>
        <w:ind w:left="714"/>
        <w:rPr>
          <w:rFonts w:cs="Arial"/>
          <w:color w:val="000000"/>
        </w:rPr>
      </w:pPr>
    </w:p>
    <w:p w:rsidR="00444F8D" w:rsidRDefault="00444F8D" w:rsidP="00681CD4">
      <w:pPr>
        <w:numPr>
          <w:ilvl w:val="0"/>
          <w:numId w:val="14"/>
        </w:numPr>
        <w:spacing w:after="0" w:line="240" w:lineRule="auto"/>
        <w:ind w:left="714" w:hanging="357"/>
        <w:rPr>
          <w:rFonts w:cs="Arial"/>
          <w:color w:val="000000"/>
        </w:rPr>
      </w:pPr>
      <w:r w:rsidRPr="000F4604">
        <w:rPr>
          <w:rFonts w:cs="Arial"/>
          <w:color w:val="000000"/>
        </w:rPr>
        <w:t xml:space="preserve">Analysis of staff survey </w:t>
      </w:r>
      <w:r w:rsidR="00690D3C" w:rsidRPr="000F4604">
        <w:rPr>
          <w:rFonts w:cs="Arial"/>
          <w:color w:val="000000"/>
        </w:rPr>
        <w:t xml:space="preserve">and learner survey results </w:t>
      </w:r>
      <w:r w:rsidRPr="000F4604">
        <w:rPr>
          <w:rFonts w:cs="Arial"/>
          <w:color w:val="000000"/>
        </w:rPr>
        <w:t>by EDI characteristics to determine levels of satisfaction</w:t>
      </w:r>
      <w:r w:rsidR="00690D3C" w:rsidRPr="000F4604">
        <w:rPr>
          <w:rFonts w:cs="Arial"/>
          <w:color w:val="000000"/>
        </w:rPr>
        <w:t xml:space="preserve"> across groups.</w:t>
      </w:r>
    </w:p>
    <w:p w:rsidR="009B066B" w:rsidRDefault="009B066B" w:rsidP="00681CD4">
      <w:pPr>
        <w:numPr>
          <w:ilvl w:val="0"/>
          <w:numId w:val="14"/>
        </w:numPr>
        <w:spacing w:after="0" w:line="240" w:lineRule="auto"/>
        <w:ind w:left="714" w:hanging="357"/>
        <w:rPr>
          <w:rFonts w:cs="Arial"/>
          <w:color w:val="000000"/>
        </w:rPr>
      </w:pPr>
      <w:r w:rsidRPr="000F4604">
        <w:rPr>
          <w:rFonts w:cs="Arial"/>
          <w:color w:val="000000"/>
        </w:rPr>
        <w:lastRenderedPageBreak/>
        <w:t xml:space="preserve">Creation of </w:t>
      </w:r>
      <w:r w:rsidR="00832D7F">
        <w:rPr>
          <w:rFonts w:cs="Arial"/>
          <w:color w:val="000000"/>
        </w:rPr>
        <w:t xml:space="preserve">the third </w:t>
      </w:r>
      <w:r w:rsidRPr="000F4604">
        <w:rPr>
          <w:rFonts w:cs="Arial"/>
          <w:color w:val="000000"/>
        </w:rPr>
        <w:t xml:space="preserve">online </w:t>
      </w:r>
      <w:r w:rsidR="00832D7F">
        <w:rPr>
          <w:rFonts w:cs="Arial"/>
          <w:color w:val="000000"/>
        </w:rPr>
        <w:t xml:space="preserve">EDI </w:t>
      </w:r>
      <w:r w:rsidRPr="000F4604">
        <w:rPr>
          <w:rFonts w:cs="Arial"/>
          <w:color w:val="000000"/>
        </w:rPr>
        <w:t>training module outlining responsibilities of staff under the Public Sector duty involving a range of business and support staff in a video to showcase examples of how the College is meeting its responsibilities.</w:t>
      </w:r>
    </w:p>
    <w:p w:rsidR="004420D5" w:rsidRDefault="004420D5" w:rsidP="004420D5">
      <w:pPr>
        <w:spacing w:after="0" w:line="240" w:lineRule="auto"/>
        <w:ind w:left="714"/>
        <w:rPr>
          <w:rFonts w:cs="Arial"/>
          <w:color w:val="000000"/>
        </w:rPr>
      </w:pPr>
    </w:p>
    <w:p w:rsidR="00690D3C" w:rsidRDefault="00690D3C" w:rsidP="00681CD4">
      <w:pPr>
        <w:numPr>
          <w:ilvl w:val="0"/>
          <w:numId w:val="14"/>
        </w:numPr>
        <w:spacing w:after="0" w:line="240" w:lineRule="auto"/>
        <w:ind w:left="714" w:hanging="357"/>
        <w:rPr>
          <w:rFonts w:cs="Arial"/>
          <w:color w:val="000000"/>
        </w:rPr>
      </w:pPr>
      <w:r w:rsidRPr="000F4604">
        <w:rPr>
          <w:rFonts w:cs="Arial"/>
          <w:color w:val="000000"/>
        </w:rPr>
        <w:t>Creation of online EDI toolkit with resources on managing prejudice, inclusive practice, promoting diversity and promoting British Values</w:t>
      </w:r>
      <w:r w:rsidR="009A2E09">
        <w:rPr>
          <w:rFonts w:cs="Arial"/>
          <w:color w:val="000000"/>
        </w:rPr>
        <w:t>.</w:t>
      </w:r>
    </w:p>
    <w:p w:rsidR="00F25FE0" w:rsidRPr="000F4604" w:rsidRDefault="00F25FE0" w:rsidP="00681CD4">
      <w:pPr>
        <w:pStyle w:val="ListParagraph"/>
        <w:spacing w:after="0" w:line="240" w:lineRule="auto"/>
        <w:rPr>
          <w:rFonts w:ascii="Arial" w:hAnsi="Arial" w:cs="Arial"/>
        </w:rPr>
      </w:pPr>
    </w:p>
    <w:p w:rsidR="00F25FE0" w:rsidRPr="000F4604" w:rsidRDefault="00F25FE0" w:rsidP="00681CD4">
      <w:pPr>
        <w:framePr w:hSpace="180" w:wrap="around" w:vAnchor="text" w:hAnchor="text" w:y="1"/>
        <w:spacing w:after="0" w:line="240" w:lineRule="auto"/>
        <w:rPr>
          <w:rFonts w:cs="Arial"/>
        </w:rPr>
      </w:pPr>
      <w:r w:rsidRPr="000F4604">
        <w:rPr>
          <w:rFonts w:cs="Arial"/>
        </w:rPr>
        <w:t>The EDI group effectively uses management information and equality monitoring data, to implement timely support and intervention to ensure positive outcomes for learners</w:t>
      </w:r>
      <w:r w:rsidR="00690D3C" w:rsidRPr="000F4604">
        <w:rPr>
          <w:rFonts w:cs="Arial"/>
        </w:rPr>
        <w:t>, for example with ‘Other’ learners who had a poor retention rate in comparison to other ethnic groups</w:t>
      </w:r>
      <w:r w:rsidRPr="000F4604">
        <w:rPr>
          <w:rFonts w:cs="Arial"/>
        </w:rPr>
        <w:t>.</w:t>
      </w:r>
    </w:p>
    <w:p w:rsidR="00BF66C0" w:rsidRPr="000F4604" w:rsidRDefault="00BF66C0" w:rsidP="00681CD4">
      <w:pPr>
        <w:spacing w:after="0" w:line="240" w:lineRule="auto"/>
        <w:jc w:val="both"/>
        <w:rPr>
          <w:rFonts w:cs="Arial"/>
        </w:rPr>
      </w:pPr>
    </w:p>
    <w:p w:rsidR="008320C4" w:rsidRPr="000F4604" w:rsidRDefault="008320C4" w:rsidP="00681CD4">
      <w:pPr>
        <w:spacing w:after="0" w:line="240" w:lineRule="auto"/>
        <w:jc w:val="both"/>
        <w:rPr>
          <w:rFonts w:cs="Arial"/>
        </w:rPr>
      </w:pPr>
    </w:p>
    <w:p w:rsidR="00C90368" w:rsidRPr="000F4604" w:rsidRDefault="001B4485" w:rsidP="00681CD4">
      <w:pPr>
        <w:spacing w:after="0" w:line="240" w:lineRule="auto"/>
        <w:jc w:val="both"/>
        <w:rPr>
          <w:rFonts w:cs="Arial"/>
          <w:b/>
        </w:rPr>
      </w:pPr>
      <w:r w:rsidRPr="000F4604">
        <w:rPr>
          <w:rFonts w:cs="Arial"/>
          <w:b/>
        </w:rPr>
        <w:t>8</w:t>
      </w:r>
      <w:r w:rsidR="00965CF2" w:rsidRPr="000F4604">
        <w:rPr>
          <w:rFonts w:cs="Arial"/>
          <w:b/>
        </w:rPr>
        <w:t xml:space="preserve">. </w:t>
      </w:r>
      <w:r w:rsidR="000504ED" w:rsidRPr="000F4604">
        <w:rPr>
          <w:rFonts w:cs="Arial"/>
          <w:b/>
        </w:rPr>
        <w:t xml:space="preserve">Staffing </w:t>
      </w:r>
      <w:r w:rsidR="00692E69" w:rsidRPr="000F4604">
        <w:rPr>
          <w:rFonts w:cs="Arial"/>
          <w:b/>
        </w:rPr>
        <w:t>P</w:t>
      </w:r>
      <w:r w:rsidR="000504ED" w:rsidRPr="000F4604">
        <w:rPr>
          <w:rFonts w:cs="Arial"/>
          <w:b/>
        </w:rPr>
        <w:t>rofile</w:t>
      </w:r>
    </w:p>
    <w:p w:rsidR="00CB69D3" w:rsidRPr="000F4604" w:rsidRDefault="00E5013F" w:rsidP="00681CD4">
      <w:pPr>
        <w:spacing w:after="0" w:line="240" w:lineRule="auto"/>
        <w:jc w:val="both"/>
        <w:rPr>
          <w:rFonts w:cs="Arial"/>
          <w:color w:val="FF0000"/>
        </w:rPr>
      </w:pPr>
      <w:r w:rsidRPr="000F4604">
        <w:rPr>
          <w:rFonts w:cs="Arial"/>
        </w:rPr>
        <w:t xml:space="preserve">The College aims to ensure that it collects robust equality data to help identify and address any inequalities. </w:t>
      </w:r>
      <w:r w:rsidR="001D4ABC" w:rsidRPr="000F4604">
        <w:rPr>
          <w:rFonts w:cs="Arial"/>
        </w:rPr>
        <w:t xml:space="preserve">The College currently reports on the following protected characteristics for </w:t>
      </w:r>
      <w:r w:rsidR="00E1715D" w:rsidRPr="000F4604">
        <w:rPr>
          <w:rFonts w:cs="Arial"/>
        </w:rPr>
        <w:t xml:space="preserve">established </w:t>
      </w:r>
      <w:r w:rsidR="001D4ABC" w:rsidRPr="000F4604">
        <w:rPr>
          <w:rFonts w:cs="Arial"/>
        </w:rPr>
        <w:t xml:space="preserve">staff: Age, Gender, </w:t>
      </w:r>
      <w:r w:rsidR="007370ED" w:rsidRPr="000F4604">
        <w:rPr>
          <w:rFonts w:cs="Arial"/>
        </w:rPr>
        <w:t>Ethnicity</w:t>
      </w:r>
      <w:r w:rsidR="001D4ABC" w:rsidRPr="000F4604">
        <w:rPr>
          <w:rFonts w:cs="Arial"/>
        </w:rPr>
        <w:t xml:space="preserve"> and Disability. </w:t>
      </w:r>
      <w:r w:rsidR="00811B79" w:rsidRPr="000F4604">
        <w:rPr>
          <w:rFonts w:cs="Arial"/>
        </w:rPr>
        <w:t>T</w:t>
      </w:r>
      <w:r w:rsidR="00E82BAB" w:rsidRPr="000F4604">
        <w:rPr>
          <w:rFonts w:cs="Arial"/>
        </w:rPr>
        <w:t xml:space="preserve">he </w:t>
      </w:r>
      <w:r w:rsidR="00CB69D3" w:rsidRPr="000F4604">
        <w:rPr>
          <w:rFonts w:cs="Arial"/>
        </w:rPr>
        <w:t xml:space="preserve">employment </w:t>
      </w:r>
      <w:r w:rsidR="00E82BAB" w:rsidRPr="000F4604">
        <w:rPr>
          <w:rFonts w:cs="Arial"/>
        </w:rPr>
        <w:t xml:space="preserve">journey is mapped from application through </w:t>
      </w:r>
      <w:r w:rsidR="00CB69D3" w:rsidRPr="000F4604">
        <w:rPr>
          <w:rFonts w:cs="Arial"/>
        </w:rPr>
        <w:t xml:space="preserve">to </w:t>
      </w:r>
      <w:r w:rsidR="00E82BAB" w:rsidRPr="000F4604">
        <w:rPr>
          <w:rFonts w:cs="Arial"/>
        </w:rPr>
        <w:t>shortlisting and appointment</w:t>
      </w:r>
      <w:r w:rsidR="00446D14" w:rsidRPr="000F4604">
        <w:rPr>
          <w:rFonts w:cs="Arial"/>
        </w:rPr>
        <w:t>,</w:t>
      </w:r>
      <w:r w:rsidR="00E82BAB" w:rsidRPr="000F4604">
        <w:rPr>
          <w:rFonts w:cs="Arial"/>
        </w:rPr>
        <w:t xml:space="preserve"> </w:t>
      </w:r>
      <w:r w:rsidR="00E82BAB" w:rsidRPr="000F4604">
        <w:rPr>
          <w:rFonts w:cs="Arial"/>
          <w:color w:val="000000" w:themeColor="text1"/>
        </w:rPr>
        <w:t xml:space="preserve">and </w:t>
      </w:r>
      <w:r w:rsidR="00CB69D3" w:rsidRPr="000F4604">
        <w:rPr>
          <w:rFonts w:cs="Arial"/>
          <w:color w:val="000000" w:themeColor="text1"/>
        </w:rPr>
        <w:t>then</w:t>
      </w:r>
      <w:r w:rsidR="00E82BAB" w:rsidRPr="000F4604">
        <w:rPr>
          <w:rFonts w:cs="Arial"/>
          <w:color w:val="000000" w:themeColor="text1"/>
        </w:rPr>
        <w:t xml:space="preserve"> throughout the employee</w:t>
      </w:r>
      <w:r w:rsidR="00CB69D3" w:rsidRPr="000F4604">
        <w:rPr>
          <w:rFonts w:cs="Arial"/>
          <w:color w:val="000000" w:themeColor="text1"/>
        </w:rPr>
        <w:t>’s work</w:t>
      </w:r>
      <w:r w:rsidR="00E82BAB" w:rsidRPr="000F4604">
        <w:rPr>
          <w:rFonts w:cs="Arial"/>
          <w:color w:val="000000" w:themeColor="text1"/>
        </w:rPr>
        <w:t xml:space="preserve"> experience (staff training</w:t>
      </w:r>
      <w:r w:rsidR="00446D14" w:rsidRPr="000F4604">
        <w:rPr>
          <w:rFonts w:cs="Arial"/>
          <w:color w:val="000000" w:themeColor="text1"/>
        </w:rPr>
        <w:t>,</w:t>
      </w:r>
      <w:r w:rsidR="00E82BAB" w:rsidRPr="000F4604">
        <w:rPr>
          <w:rFonts w:cs="Arial"/>
          <w:color w:val="000000" w:themeColor="text1"/>
        </w:rPr>
        <w:t xml:space="preserve"> </w:t>
      </w:r>
      <w:r w:rsidR="00CB69D3" w:rsidRPr="000F4604">
        <w:rPr>
          <w:rFonts w:cs="Arial"/>
          <w:color w:val="000000" w:themeColor="text1"/>
        </w:rPr>
        <w:t>absence</w:t>
      </w:r>
      <w:r w:rsidR="00E82BAB" w:rsidRPr="000F4604">
        <w:rPr>
          <w:rFonts w:cs="Arial"/>
          <w:color w:val="000000" w:themeColor="text1"/>
        </w:rPr>
        <w:t xml:space="preserve">, </w:t>
      </w:r>
      <w:r w:rsidR="00E535EA" w:rsidRPr="000F4604">
        <w:rPr>
          <w:rFonts w:cs="Arial"/>
          <w:color w:val="000000" w:themeColor="text1"/>
        </w:rPr>
        <w:t>disciplinar</w:t>
      </w:r>
      <w:r w:rsidR="00CB69D3" w:rsidRPr="000F4604">
        <w:rPr>
          <w:rFonts w:cs="Arial"/>
          <w:color w:val="000000" w:themeColor="text1"/>
        </w:rPr>
        <w:t>y, grievance</w:t>
      </w:r>
      <w:r w:rsidR="00E535EA" w:rsidRPr="000F4604">
        <w:rPr>
          <w:rFonts w:cs="Arial"/>
          <w:color w:val="000000" w:themeColor="text1"/>
        </w:rPr>
        <w:t xml:space="preserve">, </w:t>
      </w:r>
      <w:r w:rsidR="00446D14" w:rsidRPr="000F4604">
        <w:rPr>
          <w:rFonts w:cs="Arial"/>
          <w:color w:val="000000" w:themeColor="text1"/>
        </w:rPr>
        <w:t>and turnover</w:t>
      </w:r>
      <w:r w:rsidR="00E82BAB" w:rsidRPr="000F4604">
        <w:rPr>
          <w:rFonts w:cs="Arial"/>
          <w:color w:val="000000" w:themeColor="text1"/>
        </w:rPr>
        <w:t>)</w:t>
      </w:r>
      <w:r w:rsidR="00E82BAB" w:rsidRPr="000F4604">
        <w:rPr>
          <w:rFonts w:cs="Arial"/>
          <w:color w:val="FF0000"/>
        </w:rPr>
        <w:t>.</w:t>
      </w:r>
      <w:r w:rsidR="007A6BC4" w:rsidRPr="000F4604">
        <w:rPr>
          <w:rFonts w:cs="Arial"/>
          <w:color w:val="FF0000"/>
        </w:rPr>
        <w:t xml:space="preserve"> </w:t>
      </w:r>
    </w:p>
    <w:p w:rsidR="00CB69D3" w:rsidRPr="000F4604" w:rsidRDefault="00CB69D3" w:rsidP="00681CD4">
      <w:pPr>
        <w:spacing w:after="0" w:line="240" w:lineRule="auto"/>
        <w:jc w:val="both"/>
        <w:rPr>
          <w:rFonts w:cs="Arial"/>
          <w:color w:val="FF0000"/>
        </w:rPr>
      </w:pPr>
    </w:p>
    <w:p w:rsidR="00E82BAB" w:rsidRPr="000F4604" w:rsidRDefault="007A6BC4" w:rsidP="00681CD4">
      <w:pPr>
        <w:spacing w:after="0" w:line="240" w:lineRule="auto"/>
        <w:jc w:val="both"/>
        <w:rPr>
          <w:rFonts w:cs="Arial"/>
        </w:rPr>
      </w:pPr>
      <w:r w:rsidRPr="000F4604">
        <w:rPr>
          <w:rFonts w:cs="Arial"/>
        </w:rPr>
        <w:t>Staff equality information is analysed over 3 years.</w:t>
      </w:r>
    </w:p>
    <w:p w:rsidR="00E82BAB" w:rsidRPr="000F4604" w:rsidRDefault="00E82BAB" w:rsidP="00681CD4">
      <w:pPr>
        <w:spacing w:after="0" w:line="240" w:lineRule="auto"/>
        <w:jc w:val="both"/>
        <w:rPr>
          <w:rFonts w:cs="Arial"/>
        </w:rPr>
      </w:pPr>
    </w:p>
    <w:p w:rsidR="00965CF2" w:rsidRDefault="00965CF2" w:rsidP="00681CD4">
      <w:pPr>
        <w:spacing w:after="0" w:line="240" w:lineRule="auto"/>
        <w:jc w:val="both"/>
        <w:rPr>
          <w:rFonts w:cs="Arial"/>
        </w:rPr>
      </w:pPr>
      <w:r w:rsidRPr="000F4604">
        <w:rPr>
          <w:rFonts w:cs="Arial"/>
        </w:rPr>
        <w:t xml:space="preserve">The Corporation received the annual HR report in </w:t>
      </w:r>
      <w:r w:rsidR="009A2E09">
        <w:rPr>
          <w:rFonts w:cs="Arial"/>
        </w:rPr>
        <w:t>September</w:t>
      </w:r>
      <w:r w:rsidRPr="000F4604">
        <w:rPr>
          <w:rFonts w:cs="Arial"/>
        </w:rPr>
        <w:t xml:space="preserve"> 201</w:t>
      </w:r>
      <w:r w:rsidR="00811B79" w:rsidRPr="000F4604">
        <w:rPr>
          <w:rFonts w:cs="Arial"/>
        </w:rPr>
        <w:t>5</w:t>
      </w:r>
      <w:r w:rsidRPr="000F4604">
        <w:rPr>
          <w:rFonts w:cs="Arial"/>
        </w:rPr>
        <w:t xml:space="preserve"> </w:t>
      </w:r>
      <w:r w:rsidR="00CC729F" w:rsidRPr="000F4604">
        <w:rPr>
          <w:rFonts w:cs="Arial"/>
        </w:rPr>
        <w:t>which</w:t>
      </w:r>
      <w:r w:rsidRPr="000F4604">
        <w:rPr>
          <w:rFonts w:cs="Arial"/>
        </w:rPr>
        <w:t xml:space="preserve"> reported the following in respect of the staffing cadre.</w:t>
      </w:r>
    </w:p>
    <w:p w:rsidR="00E57CD7" w:rsidRDefault="00E57CD7" w:rsidP="00681CD4">
      <w:pPr>
        <w:spacing w:after="0" w:line="240" w:lineRule="auto"/>
        <w:jc w:val="both"/>
        <w:rPr>
          <w:rFonts w:cs="Arial"/>
        </w:rPr>
      </w:pPr>
    </w:p>
    <w:p w:rsidR="00965CF2" w:rsidRPr="000F4604" w:rsidRDefault="00D94E87" w:rsidP="00681CD4">
      <w:pPr>
        <w:spacing w:after="0" w:line="240" w:lineRule="auto"/>
        <w:jc w:val="both"/>
        <w:outlineLvl w:val="0"/>
        <w:rPr>
          <w:rFonts w:cs="Arial"/>
          <w:u w:val="single"/>
        </w:rPr>
      </w:pPr>
      <w:r w:rsidRPr="000F4604">
        <w:rPr>
          <w:rFonts w:cs="Arial"/>
          <w:u w:val="single"/>
        </w:rPr>
        <w:t>Gender P</w:t>
      </w:r>
      <w:r w:rsidR="00965CF2" w:rsidRPr="000F4604">
        <w:rPr>
          <w:rFonts w:cs="Arial"/>
          <w:u w:val="single"/>
        </w:rPr>
        <w:t>rofile</w:t>
      </w:r>
    </w:p>
    <w:p w:rsidR="00CA556F" w:rsidRPr="000F4604" w:rsidRDefault="00CA556F" w:rsidP="00681CD4">
      <w:pPr>
        <w:spacing w:after="0" w:line="240" w:lineRule="auto"/>
        <w:jc w:val="both"/>
        <w:outlineLvl w:val="0"/>
        <w:rPr>
          <w:rFonts w:cs="Arial"/>
          <w:color w:val="000000" w:themeColor="text1"/>
        </w:rPr>
      </w:pPr>
      <w:r w:rsidRPr="000F4604">
        <w:rPr>
          <w:rFonts w:cs="Arial"/>
          <w:color w:val="000000" w:themeColor="text1"/>
        </w:rPr>
        <w:t>In common with the sector, the College's workforce continues to be predominantly female. There has been a very slight change in the overall profile from last year with females making up 60% of the workforce (61% last year) and males making up 40% (39%).</w:t>
      </w:r>
    </w:p>
    <w:p w:rsidR="00832D7F" w:rsidRDefault="00832D7F" w:rsidP="00681CD4">
      <w:pPr>
        <w:spacing w:after="0" w:line="240" w:lineRule="auto"/>
        <w:jc w:val="both"/>
        <w:rPr>
          <w:rFonts w:cs="Arial"/>
          <w:color w:val="000000" w:themeColor="text1"/>
        </w:rPr>
      </w:pPr>
    </w:p>
    <w:p w:rsidR="00CA556F" w:rsidRDefault="00CA556F" w:rsidP="00681CD4">
      <w:pPr>
        <w:spacing w:after="0" w:line="240" w:lineRule="auto"/>
        <w:jc w:val="both"/>
        <w:rPr>
          <w:rFonts w:cs="Arial"/>
          <w:color w:val="000000" w:themeColor="text1"/>
        </w:rPr>
      </w:pPr>
      <w:r w:rsidRPr="000F4604">
        <w:rPr>
          <w:rFonts w:cs="Arial"/>
          <w:color w:val="000000" w:themeColor="text1"/>
        </w:rPr>
        <w:t>The gender profile by staff group remains largely unchanged year on year with a maximum 2% variance (academic female).</w:t>
      </w:r>
    </w:p>
    <w:p w:rsidR="00E57CD7" w:rsidRDefault="00E57CD7" w:rsidP="00681CD4">
      <w:pPr>
        <w:spacing w:after="0" w:line="240" w:lineRule="auto"/>
        <w:jc w:val="both"/>
        <w:rPr>
          <w:rFonts w:cs="Arial"/>
          <w:color w:val="000000" w:themeColor="text1"/>
        </w:rPr>
      </w:pPr>
    </w:p>
    <w:p w:rsidR="00E57CD7" w:rsidRPr="000F4604" w:rsidRDefault="00E57CD7" w:rsidP="00681CD4">
      <w:pPr>
        <w:spacing w:after="0" w:line="240" w:lineRule="auto"/>
        <w:jc w:val="both"/>
        <w:rPr>
          <w:rFonts w:cs="Arial"/>
          <w:color w:val="000000" w:themeColor="text1"/>
        </w:rPr>
      </w:pPr>
    </w:p>
    <w:tbl>
      <w:tblPr>
        <w:tblW w:w="9371" w:type="dxa"/>
        <w:tblInd w:w="93" w:type="dxa"/>
        <w:tblLayout w:type="fixed"/>
        <w:tblLook w:val="04A0" w:firstRow="1" w:lastRow="0" w:firstColumn="1" w:lastColumn="0" w:noHBand="0" w:noVBand="1"/>
      </w:tblPr>
      <w:tblGrid>
        <w:gridCol w:w="1149"/>
        <w:gridCol w:w="1276"/>
        <w:gridCol w:w="1276"/>
        <w:gridCol w:w="1134"/>
        <w:gridCol w:w="1134"/>
        <w:gridCol w:w="1701"/>
        <w:gridCol w:w="1701"/>
      </w:tblGrid>
      <w:tr w:rsidR="00CA556F" w:rsidRPr="000F4604" w:rsidTr="007C13E6">
        <w:trPr>
          <w:trHeight w:val="780"/>
        </w:trPr>
        <w:tc>
          <w:tcPr>
            <w:tcW w:w="1149" w:type="dxa"/>
            <w:tcBorders>
              <w:top w:val="single" w:sz="4" w:space="0" w:color="auto"/>
              <w:left w:val="single" w:sz="4" w:space="0" w:color="auto"/>
              <w:bottom w:val="single" w:sz="4" w:space="0" w:color="auto"/>
              <w:right w:val="nil"/>
            </w:tcBorders>
            <w:shd w:val="clear" w:color="000000"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Year</w:t>
            </w:r>
          </w:p>
        </w:tc>
        <w:tc>
          <w:tcPr>
            <w:tcW w:w="1276" w:type="dxa"/>
            <w:tcBorders>
              <w:top w:val="single" w:sz="8" w:space="0" w:color="auto"/>
              <w:left w:val="single" w:sz="8" w:space="0" w:color="auto"/>
              <w:bottom w:val="single" w:sz="4" w:space="0" w:color="auto"/>
              <w:right w:val="single" w:sz="4" w:space="0" w:color="auto"/>
            </w:tcBorders>
            <w:shd w:val="clear" w:color="auto"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Academic Female</w:t>
            </w:r>
          </w:p>
        </w:tc>
        <w:tc>
          <w:tcPr>
            <w:tcW w:w="1276" w:type="dxa"/>
            <w:tcBorders>
              <w:top w:val="single" w:sz="8" w:space="0" w:color="auto"/>
              <w:left w:val="nil"/>
              <w:bottom w:val="single" w:sz="4" w:space="0" w:color="auto"/>
              <w:right w:val="single" w:sz="8" w:space="0" w:color="auto"/>
            </w:tcBorders>
            <w:shd w:val="clear" w:color="auto"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Academic Male</w:t>
            </w:r>
          </w:p>
        </w:tc>
        <w:tc>
          <w:tcPr>
            <w:tcW w:w="1134" w:type="dxa"/>
            <w:tcBorders>
              <w:top w:val="single" w:sz="8" w:space="0" w:color="auto"/>
              <w:left w:val="nil"/>
              <w:bottom w:val="single" w:sz="4" w:space="0" w:color="auto"/>
              <w:right w:val="single" w:sz="4" w:space="0" w:color="auto"/>
            </w:tcBorders>
            <w:shd w:val="clear" w:color="auto"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Support Female</w:t>
            </w:r>
          </w:p>
        </w:tc>
        <w:tc>
          <w:tcPr>
            <w:tcW w:w="1134" w:type="dxa"/>
            <w:tcBorders>
              <w:top w:val="single" w:sz="8" w:space="0" w:color="auto"/>
              <w:left w:val="nil"/>
              <w:bottom w:val="single" w:sz="4" w:space="0" w:color="auto"/>
              <w:right w:val="single" w:sz="8" w:space="0" w:color="auto"/>
            </w:tcBorders>
            <w:shd w:val="clear" w:color="auto"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Support Male</w:t>
            </w:r>
          </w:p>
        </w:tc>
        <w:tc>
          <w:tcPr>
            <w:tcW w:w="1701" w:type="dxa"/>
            <w:tcBorders>
              <w:top w:val="single" w:sz="8" w:space="0" w:color="auto"/>
              <w:left w:val="nil"/>
              <w:bottom w:val="single" w:sz="4" w:space="0" w:color="auto"/>
              <w:right w:val="single" w:sz="4" w:space="0" w:color="auto"/>
            </w:tcBorders>
            <w:shd w:val="clear" w:color="auto"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Management Female</w:t>
            </w:r>
          </w:p>
        </w:tc>
        <w:tc>
          <w:tcPr>
            <w:tcW w:w="1701" w:type="dxa"/>
            <w:tcBorders>
              <w:top w:val="single" w:sz="8" w:space="0" w:color="auto"/>
              <w:left w:val="nil"/>
              <w:bottom w:val="single" w:sz="4" w:space="0" w:color="auto"/>
              <w:right w:val="single" w:sz="8" w:space="0" w:color="auto"/>
            </w:tcBorders>
            <w:shd w:val="clear" w:color="auto"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Management Male</w:t>
            </w:r>
          </w:p>
        </w:tc>
      </w:tr>
      <w:tr w:rsidR="00CA556F" w:rsidRPr="000F4604" w:rsidTr="007C13E6">
        <w:trPr>
          <w:trHeight w:val="567"/>
        </w:trPr>
        <w:tc>
          <w:tcPr>
            <w:tcW w:w="1149" w:type="dxa"/>
            <w:tcBorders>
              <w:top w:val="single" w:sz="4" w:space="0" w:color="auto"/>
              <w:left w:val="single" w:sz="4" w:space="0" w:color="auto"/>
              <w:bottom w:val="single" w:sz="4" w:space="0" w:color="auto"/>
              <w:right w:val="nil"/>
            </w:tcBorders>
            <w:shd w:val="clear" w:color="000000"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July 12</w:t>
            </w:r>
          </w:p>
        </w:tc>
        <w:tc>
          <w:tcPr>
            <w:tcW w:w="1276" w:type="dxa"/>
            <w:tcBorders>
              <w:top w:val="single" w:sz="8" w:space="0" w:color="auto"/>
              <w:left w:val="single" w:sz="8" w:space="0" w:color="auto"/>
              <w:bottom w:val="single" w:sz="4" w:space="0" w:color="auto"/>
              <w:right w:val="single" w:sz="4" w:space="0" w:color="auto"/>
            </w:tcBorders>
            <w:shd w:val="clear" w:color="auto"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56%</w:t>
            </w:r>
          </w:p>
        </w:tc>
        <w:tc>
          <w:tcPr>
            <w:tcW w:w="1276" w:type="dxa"/>
            <w:tcBorders>
              <w:top w:val="single" w:sz="8" w:space="0" w:color="auto"/>
              <w:left w:val="nil"/>
              <w:bottom w:val="single" w:sz="4" w:space="0" w:color="auto"/>
              <w:right w:val="single" w:sz="8" w:space="0" w:color="auto"/>
            </w:tcBorders>
            <w:shd w:val="clear" w:color="auto"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44%</w:t>
            </w:r>
          </w:p>
        </w:tc>
        <w:tc>
          <w:tcPr>
            <w:tcW w:w="1134" w:type="dxa"/>
            <w:tcBorders>
              <w:top w:val="single" w:sz="8" w:space="0" w:color="auto"/>
              <w:left w:val="nil"/>
              <w:bottom w:val="single" w:sz="4" w:space="0" w:color="auto"/>
              <w:right w:val="single" w:sz="4" w:space="0" w:color="auto"/>
            </w:tcBorders>
            <w:shd w:val="clear" w:color="auto"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67%</w:t>
            </w:r>
          </w:p>
        </w:tc>
        <w:tc>
          <w:tcPr>
            <w:tcW w:w="1134" w:type="dxa"/>
            <w:tcBorders>
              <w:top w:val="single" w:sz="8" w:space="0" w:color="auto"/>
              <w:left w:val="nil"/>
              <w:bottom w:val="single" w:sz="4" w:space="0" w:color="auto"/>
              <w:right w:val="single" w:sz="8" w:space="0" w:color="auto"/>
            </w:tcBorders>
            <w:shd w:val="clear" w:color="auto"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33%</w:t>
            </w:r>
          </w:p>
        </w:tc>
        <w:tc>
          <w:tcPr>
            <w:tcW w:w="1701" w:type="dxa"/>
            <w:tcBorders>
              <w:top w:val="single" w:sz="8" w:space="0" w:color="auto"/>
              <w:left w:val="nil"/>
              <w:bottom w:val="single" w:sz="4" w:space="0" w:color="auto"/>
              <w:right w:val="single" w:sz="4" w:space="0" w:color="auto"/>
            </w:tcBorders>
            <w:shd w:val="clear" w:color="auto"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48%</w:t>
            </w:r>
          </w:p>
        </w:tc>
        <w:tc>
          <w:tcPr>
            <w:tcW w:w="1701" w:type="dxa"/>
            <w:tcBorders>
              <w:top w:val="single" w:sz="8" w:space="0" w:color="auto"/>
              <w:left w:val="nil"/>
              <w:bottom w:val="single" w:sz="4" w:space="0" w:color="auto"/>
              <w:right w:val="single" w:sz="8" w:space="0" w:color="auto"/>
            </w:tcBorders>
            <w:shd w:val="clear" w:color="auto"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52%</w:t>
            </w:r>
          </w:p>
        </w:tc>
      </w:tr>
      <w:tr w:rsidR="00CA556F" w:rsidRPr="000F4604" w:rsidTr="007C13E6">
        <w:trPr>
          <w:trHeight w:val="567"/>
        </w:trPr>
        <w:tc>
          <w:tcPr>
            <w:tcW w:w="1149" w:type="dxa"/>
            <w:tcBorders>
              <w:top w:val="single" w:sz="4" w:space="0" w:color="auto"/>
              <w:left w:val="single" w:sz="4" w:space="0" w:color="auto"/>
              <w:bottom w:val="single" w:sz="4" w:space="0" w:color="auto"/>
              <w:right w:val="nil"/>
            </w:tcBorders>
            <w:shd w:val="clear" w:color="000000"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July 13</w:t>
            </w:r>
          </w:p>
        </w:tc>
        <w:tc>
          <w:tcPr>
            <w:tcW w:w="1276" w:type="dxa"/>
            <w:tcBorders>
              <w:top w:val="single" w:sz="8" w:space="0" w:color="auto"/>
              <w:left w:val="single" w:sz="8" w:space="0" w:color="auto"/>
              <w:bottom w:val="single" w:sz="4" w:space="0" w:color="auto"/>
              <w:right w:val="single" w:sz="4" w:space="0" w:color="auto"/>
            </w:tcBorders>
            <w:shd w:val="clear" w:color="auto"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56%</w:t>
            </w:r>
          </w:p>
        </w:tc>
        <w:tc>
          <w:tcPr>
            <w:tcW w:w="1276" w:type="dxa"/>
            <w:tcBorders>
              <w:top w:val="single" w:sz="8" w:space="0" w:color="auto"/>
              <w:left w:val="nil"/>
              <w:bottom w:val="single" w:sz="4" w:space="0" w:color="auto"/>
              <w:right w:val="single" w:sz="8" w:space="0" w:color="auto"/>
            </w:tcBorders>
            <w:shd w:val="clear" w:color="auto"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44%</w:t>
            </w:r>
          </w:p>
        </w:tc>
        <w:tc>
          <w:tcPr>
            <w:tcW w:w="1134" w:type="dxa"/>
            <w:tcBorders>
              <w:top w:val="single" w:sz="8" w:space="0" w:color="auto"/>
              <w:left w:val="nil"/>
              <w:bottom w:val="single" w:sz="4" w:space="0" w:color="auto"/>
              <w:right w:val="single" w:sz="4" w:space="0" w:color="auto"/>
            </w:tcBorders>
            <w:shd w:val="clear" w:color="auto"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66%</w:t>
            </w:r>
          </w:p>
        </w:tc>
        <w:tc>
          <w:tcPr>
            <w:tcW w:w="1134" w:type="dxa"/>
            <w:tcBorders>
              <w:top w:val="single" w:sz="8" w:space="0" w:color="auto"/>
              <w:left w:val="nil"/>
              <w:bottom w:val="single" w:sz="4" w:space="0" w:color="auto"/>
              <w:right w:val="single" w:sz="8" w:space="0" w:color="auto"/>
            </w:tcBorders>
            <w:shd w:val="clear" w:color="auto"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34%</w:t>
            </w:r>
          </w:p>
        </w:tc>
        <w:tc>
          <w:tcPr>
            <w:tcW w:w="1701" w:type="dxa"/>
            <w:tcBorders>
              <w:top w:val="single" w:sz="8" w:space="0" w:color="auto"/>
              <w:left w:val="nil"/>
              <w:bottom w:val="single" w:sz="4" w:space="0" w:color="auto"/>
              <w:right w:val="single" w:sz="4" w:space="0" w:color="auto"/>
            </w:tcBorders>
            <w:shd w:val="clear" w:color="auto"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47%</w:t>
            </w:r>
          </w:p>
        </w:tc>
        <w:tc>
          <w:tcPr>
            <w:tcW w:w="1701" w:type="dxa"/>
            <w:tcBorders>
              <w:top w:val="single" w:sz="8" w:space="0" w:color="auto"/>
              <w:left w:val="nil"/>
              <w:bottom w:val="single" w:sz="4" w:space="0" w:color="auto"/>
              <w:right w:val="single" w:sz="8" w:space="0" w:color="auto"/>
            </w:tcBorders>
            <w:shd w:val="clear" w:color="auto"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53%</w:t>
            </w:r>
          </w:p>
        </w:tc>
      </w:tr>
      <w:tr w:rsidR="00CA556F" w:rsidRPr="000F4604" w:rsidTr="007C13E6">
        <w:trPr>
          <w:trHeight w:val="567"/>
        </w:trPr>
        <w:tc>
          <w:tcPr>
            <w:tcW w:w="1149" w:type="dxa"/>
            <w:tcBorders>
              <w:top w:val="single" w:sz="4" w:space="0" w:color="auto"/>
              <w:left w:val="single" w:sz="4" w:space="0" w:color="auto"/>
              <w:bottom w:val="single" w:sz="4" w:space="0" w:color="auto"/>
              <w:right w:val="nil"/>
            </w:tcBorders>
            <w:shd w:val="clear" w:color="000000"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July 14</w:t>
            </w:r>
          </w:p>
        </w:tc>
        <w:tc>
          <w:tcPr>
            <w:tcW w:w="1276" w:type="dxa"/>
            <w:tcBorders>
              <w:top w:val="single" w:sz="8" w:space="0" w:color="auto"/>
              <w:left w:val="single" w:sz="8" w:space="0" w:color="auto"/>
              <w:bottom w:val="single" w:sz="4" w:space="0" w:color="auto"/>
              <w:right w:val="single" w:sz="4" w:space="0" w:color="auto"/>
            </w:tcBorders>
            <w:shd w:val="clear" w:color="auto"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56%</w:t>
            </w:r>
          </w:p>
        </w:tc>
        <w:tc>
          <w:tcPr>
            <w:tcW w:w="1276" w:type="dxa"/>
            <w:tcBorders>
              <w:top w:val="single" w:sz="8" w:space="0" w:color="auto"/>
              <w:left w:val="nil"/>
              <w:bottom w:val="single" w:sz="4" w:space="0" w:color="auto"/>
              <w:right w:val="single" w:sz="8" w:space="0" w:color="auto"/>
            </w:tcBorders>
            <w:shd w:val="clear" w:color="auto"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43%</w:t>
            </w:r>
          </w:p>
        </w:tc>
        <w:tc>
          <w:tcPr>
            <w:tcW w:w="1134" w:type="dxa"/>
            <w:tcBorders>
              <w:top w:val="single" w:sz="8" w:space="0" w:color="auto"/>
              <w:left w:val="nil"/>
              <w:bottom w:val="single" w:sz="4" w:space="0" w:color="auto"/>
              <w:right w:val="single" w:sz="4" w:space="0" w:color="auto"/>
            </w:tcBorders>
            <w:shd w:val="clear" w:color="auto"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64%</w:t>
            </w:r>
          </w:p>
        </w:tc>
        <w:tc>
          <w:tcPr>
            <w:tcW w:w="1134" w:type="dxa"/>
            <w:tcBorders>
              <w:top w:val="single" w:sz="8" w:space="0" w:color="auto"/>
              <w:left w:val="nil"/>
              <w:bottom w:val="single" w:sz="4" w:space="0" w:color="auto"/>
              <w:right w:val="single" w:sz="8" w:space="0" w:color="auto"/>
            </w:tcBorders>
            <w:shd w:val="clear" w:color="auto"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36%</w:t>
            </w:r>
          </w:p>
        </w:tc>
        <w:tc>
          <w:tcPr>
            <w:tcW w:w="1701" w:type="dxa"/>
            <w:tcBorders>
              <w:top w:val="single" w:sz="8" w:space="0" w:color="auto"/>
              <w:left w:val="nil"/>
              <w:bottom w:val="single" w:sz="4" w:space="0" w:color="auto"/>
              <w:right w:val="single" w:sz="4" w:space="0" w:color="auto"/>
            </w:tcBorders>
            <w:shd w:val="clear" w:color="auto"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50%</w:t>
            </w:r>
          </w:p>
        </w:tc>
        <w:tc>
          <w:tcPr>
            <w:tcW w:w="1701" w:type="dxa"/>
            <w:tcBorders>
              <w:top w:val="single" w:sz="8" w:space="0" w:color="auto"/>
              <w:left w:val="nil"/>
              <w:bottom w:val="single" w:sz="4" w:space="0" w:color="auto"/>
              <w:right w:val="single" w:sz="8" w:space="0" w:color="auto"/>
            </w:tcBorders>
            <w:shd w:val="clear" w:color="auto"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50%</w:t>
            </w:r>
          </w:p>
        </w:tc>
      </w:tr>
      <w:tr w:rsidR="00CA556F" w:rsidRPr="000F4604" w:rsidTr="007C13E6">
        <w:trPr>
          <w:trHeight w:val="567"/>
        </w:trPr>
        <w:tc>
          <w:tcPr>
            <w:tcW w:w="1149" w:type="dxa"/>
            <w:tcBorders>
              <w:top w:val="single" w:sz="4" w:space="0" w:color="auto"/>
              <w:left w:val="single" w:sz="4" w:space="0" w:color="auto"/>
              <w:bottom w:val="single" w:sz="4" w:space="0" w:color="auto"/>
              <w:right w:val="nil"/>
            </w:tcBorders>
            <w:shd w:val="clear" w:color="000000"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July 15</w:t>
            </w:r>
          </w:p>
        </w:tc>
        <w:tc>
          <w:tcPr>
            <w:tcW w:w="1276" w:type="dxa"/>
            <w:tcBorders>
              <w:top w:val="single" w:sz="8" w:space="0" w:color="auto"/>
              <w:left w:val="single" w:sz="8" w:space="0" w:color="auto"/>
              <w:bottom w:val="single" w:sz="4" w:space="0" w:color="auto"/>
              <w:right w:val="single" w:sz="4" w:space="0" w:color="auto"/>
            </w:tcBorders>
            <w:shd w:val="clear" w:color="auto"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58%</w:t>
            </w:r>
          </w:p>
        </w:tc>
        <w:tc>
          <w:tcPr>
            <w:tcW w:w="1276" w:type="dxa"/>
            <w:tcBorders>
              <w:top w:val="single" w:sz="8" w:space="0" w:color="auto"/>
              <w:left w:val="nil"/>
              <w:bottom w:val="single" w:sz="4" w:space="0" w:color="auto"/>
              <w:right w:val="single" w:sz="8" w:space="0" w:color="auto"/>
            </w:tcBorders>
            <w:shd w:val="clear" w:color="auto"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42%</w:t>
            </w:r>
          </w:p>
        </w:tc>
        <w:tc>
          <w:tcPr>
            <w:tcW w:w="1134" w:type="dxa"/>
            <w:tcBorders>
              <w:top w:val="single" w:sz="8" w:space="0" w:color="auto"/>
              <w:left w:val="nil"/>
              <w:bottom w:val="single" w:sz="4" w:space="0" w:color="auto"/>
              <w:right w:val="single" w:sz="4" w:space="0" w:color="auto"/>
            </w:tcBorders>
            <w:shd w:val="clear" w:color="auto"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64%</w:t>
            </w:r>
          </w:p>
        </w:tc>
        <w:tc>
          <w:tcPr>
            <w:tcW w:w="1134" w:type="dxa"/>
            <w:tcBorders>
              <w:top w:val="single" w:sz="8" w:space="0" w:color="auto"/>
              <w:left w:val="nil"/>
              <w:bottom w:val="single" w:sz="4" w:space="0" w:color="auto"/>
              <w:right w:val="single" w:sz="8" w:space="0" w:color="auto"/>
            </w:tcBorders>
            <w:shd w:val="clear" w:color="auto"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36%</w:t>
            </w:r>
          </w:p>
        </w:tc>
        <w:tc>
          <w:tcPr>
            <w:tcW w:w="1701" w:type="dxa"/>
            <w:tcBorders>
              <w:top w:val="single" w:sz="8" w:space="0" w:color="auto"/>
              <w:left w:val="nil"/>
              <w:bottom w:val="single" w:sz="4" w:space="0" w:color="auto"/>
              <w:right w:val="single" w:sz="4" w:space="0" w:color="auto"/>
            </w:tcBorders>
            <w:shd w:val="clear" w:color="auto"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49%</w:t>
            </w:r>
          </w:p>
        </w:tc>
        <w:tc>
          <w:tcPr>
            <w:tcW w:w="1701" w:type="dxa"/>
            <w:tcBorders>
              <w:top w:val="single" w:sz="8" w:space="0" w:color="auto"/>
              <w:left w:val="nil"/>
              <w:bottom w:val="single" w:sz="4" w:space="0" w:color="auto"/>
              <w:right w:val="single" w:sz="8" w:space="0" w:color="auto"/>
            </w:tcBorders>
            <w:shd w:val="clear" w:color="auto" w:fill="DBE5F1" w:themeFill="accent1" w:themeFillTint="33"/>
            <w:vAlign w:val="bottom"/>
            <w:hideMark/>
          </w:tcPr>
          <w:p w:rsidR="00CA556F" w:rsidRPr="000F4604" w:rsidRDefault="00CA556F" w:rsidP="00681CD4">
            <w:pPr>
              <w:spacing w:after="0" w:line="240" w:lineRule="auto"/>
              <w:jc w:val="both"/>
              <w:rPr>
                <w:rFonts w:cs="Arial"/>
                <w:b/>
                <w:bCs/>
                <w:color w:val="000000"/>
              </w:rPr>
            </w:pPr>
            <w:r w:rsidRPr="000F4604">
              <w:rPr>
                <w:rFonts w:cs="Arial"/>
                <w:b/>
                <w:bCs/>
                <w:color w:val="000000"/>
              </w:rPr>
              <w:t>51%</w:t>
            </w:r>
          </w:p>
        </w:tc>
      </w:tr>
    </w:tbl>
    <w:p w:rsidR="00965CF2" w:rsidRPr="000F4604" w:rsidRDefault="00965CF2" w:rsidP="00681CD4">
      <w:pPr>
        <w:spacing w:after="0" w:line="240" w:lineRule="auto"/>
        <w:ind w:left="720"/>
        <w:jc w:val="both"/>
        <w:rPr>
          <w:rFonts w:cs="Arial"/>
          <w:highlight w:val="yellow"/>
        </w:rPr>
      </w:pPr>
    </w:p>
    <w:p w:rsidR="00CA556F" w:rsidRPr="000F4604" w:rsidRDefault="00CA556F" w:rsidP="00681CD4">
      <w:pPr>
        <w:spacing w:after="0" w:line="240" w:lineRule="auto"/>
        <w:jc w:val="both"/>
        <w:rPr>
          <w:rFonts w:cs="Arial"/>
          <w:highlight w:val="yellow"/>
          <w:u w:val="single"/>
        </w:rPr>
      </w:pPr>
    </w:p>
    <w:p w:rsidR="00965CF2" w:rsidRPr="000F4604" w:rsidRDefault="007A6BC4" w:rsidP="00681CD4">
      <w:pPr>
        <w:spacing w:after="0" w:line="240" w:lineRule="auto"/>
        <w:jc w:val="both"/>
        <w:rPr>
          <w:rFonts w:cs="Arial"/>
          <w:u w:val="single"/>
        </w:rPr>
      </w:pPr>
      <w:r w:rsidRPr="000F4604">
        <w:rPr>
          <w:rFonts w:cs="Arial"/>
          <w:u w:val="single"/>
        </w:rPr>
        <w:t>Profile of staff who have declared a disability</w:t>
      </w:r>
    </w:p>
    <w:p w:rsidR="009C2202" w:rsidRPr="000F4604" w:rsidRDefault="009C2202" w:rsidP="00681CD4">
      <w:pPr>
        <w:spacing w:after="0" w:line="240" w:lineRule="auto"/>
        <w:rPr>
          <w:rFonts w:cs="Arial"/>
          <w:color w:val="000000" w:themeColor="text1"/>
        </w:rPr>
      </w:pPr>
      <w:r w:rsidRPr="000F4604">
        <w:rPr>
          <w:rFonts w:cs="Arial"/>
          <w:color w:val="000000" w:themeColor="text1"/>
        </w:rPr>
        <w:t xml:space="preserve">The percentage of employees who have declared a disability has increased by 2% from last year and is currently 9%. The percentage of people who prefer not to disclose whether or not they have a disability has reduced by 0.6% to 1.4%. </w:t>
      </w:r>
    </w:p>
    <w:p w:rsidR="00832D7F" w:rsidRDefault="00832D7F" w:rsidP="00681CD4">
      <w:pPr>
        <w:spacing w:after="0" w:line="240" w:lineRule="auto"/>
        <w:rPr>
          <w:rFonts w:cs="Arial"/>
          <w:color w:val="000000" w:themeColor="text1"/>
        </w:rPr>
      </w:pPr>
    </w:p>
    <w:p w:rsidR="009C2202" w:rsidRPr="000F4604" w:rsidRDefault="009C2202" w:rsidP="00681CD4">
      <w:pPr>
        <w:spacing w:after="0" w:line="240" w:lineRule="auto"/>
        <w:rPr>
          <w:rFonts w:cs="Arial"/>
          <w:color w:val="000000" w:themeColor="text1"/>
        </w:rPr>
      </w:pPr>
      <w:r w:rsidRPr="000F4604">
        <w:rPr>
          <w:rFonts w:cs="Arial"/>
          <w:color w:val="000000" w:themeColor="text1"/>
        </w:rPr>
        <w:lastRenderedPageBreak/>
        <w:t>The College remains positive about the employment of people who have a disability and is a ‘two-ticks’ employer. The annual review to support people who have declared a disability demonstrates ongoing compliance with the requirements and good practice, whilst the number who makes a disclosure indicates that employees at the College are comfortable about disclosing their disability.</w:t>
      </w:r>
    </w:p>
    <w:p w:rsidR="009C2202" w:rsidRPr="000F4604" w:rsidRDefault="009C2202" w:rsidP="00681CD4">
      <w:pPr>
        <w:spacing w:after="0" w:line="240" w:lineRule="auto"/>
        <w:jc w:val="both"/>
        <w:rPr>
          <w:rFonts w:cs="Arial"/>
          <w:color w:val="000000"/>
          <w:u w:val="single"/>
        </w:rPr>
      </w:pPr>
    </w:p>
    <w:p w:rsidR="00965CF2" w:rsidRPr="000F4604" w:rsidRDefault="00D94E87" w:rsidP="00681CD4">
      <w:pPr>
        <w:spacing w:after="0" w:line="240" w:lineRule="auto"/>
        <w:jc w:val="both"/>
        <w:rPr>
          <w:rFonts w:cs="Arial"/>
          <w:color w:val="000000"/>
          <w:u w:val="single"/>
        </w:rPr>
      </w:pPr>
      <w:r w:rsidRPr="000F4604">
        <w:rPr>
          <w:rFonts w:cs="Arial"/>
          <w:color w:val="000000"/>
          <w:u w:val="single"/>
        </w:rPr>
        <w:t>Ethnicity P</w:t>
      </w:r>
      <w:r w:rsidR="00965CF2" w:rsidRPr="000F4604">
        <w:rPr>
          <w:rFonts w:cs="Arial"/>
          <w:color w:val="000000"/>
          <w:u w:val="single"/>
        </w:rPr>
        <w:t>rofile</w:t>
      </w:r>
    </w:p>
    <w:p w:rsidR="009C2202" w:rsidRPr="000F4604" w:rsidRDefault="009C2202" w:rsidP="00681CD4">
      <w:pPr>
        <w:spacing w:after="0" w:line="240" w:lineRule="auto"/>
        <w:jc w:val="both"/>
        <w:rPr>
          <w:rFonts w:cs="Arial"/>
          <w:color w:val="000000" w:themeColor="text1"/>
        </w:rPr>
      </w:pPr>
      <w:r w:rsidRPr="000F4604">
        <w:rPr>
          <w:rFonts w:cs="Arial"/>
          <w:color w:val="000000" w:themeColor="text1"/>
        </w:rPr>
        <w:t>The percentage of employees who classify themselves as White, continues to be at the 90% mark. Discounting the classification of ‘unknown/not disclosed’, the Black, Asian and Minority Ethnic (BAME) staffing profile is currently 9%, which is the same as last year.</w:t>
      </w:r>
    </w:p>
    <w:p w:rsidR="009D3F05" w:rsidRDefault="009D3F05" w:rsidP="00681CD4">
      <w:pPr>
        <w:spacing w:after="0" w:line="240" w:lineRule="auto"/>
        <w:jc w:val="both"/>
        <w:rPr>
          <w:rFonts w:cs="Arial"/>
          <w:color w:val="000000"/>
          <w:u w:val="single"/>
        </w:rPr>
      </w:pPr>
    </w:p>
    <w:p w:rsidR="00965CF2" w:rsidRPr="000F4604" w:rsidRDefault="00D94E87" w:rsidP="00681CD4">
      <w:pPr>
        <w:spacing w:after="0" w:line="240" w:lineRule="auto"/>
        <w:jc w:val="both"/>
        <w:rPr>
          <w:rFonts w:cs="Arial"/>
          <w:color w:val="000000"/>
          <w:u w:val="single"/>
        </w:rPr>
      </w:pPr>
      <w:r w:rsidRPr="000F4604">
        <w:rPr>
          <w:rFonts w:cs="Arial"/>
          <w:color w:val="000000"/>
          <w:u w:val="single"/>
        </w:rPr>
        <w:t>Age P</w:t>
      </w:r>
      <w:r w:rsidR="00965CF2" w:rsidRPr="000F4604">
        <w:rPr>
          <w:rFonts w:cs="Arial"/>
          <w:color w:val="000000"/>
          <w:u w:val="single"/>
        </w:rPr>
        <w:t>rofile</w:t>
      </w:r>
    </w:p>
    <w:p w:rsidR="009C2202" w:rsidRPr="000F4604" w:rsidRDefault="009C2202" w:rsidP="00681CD4">
      <w:pPr>
        <w:spacing w:after="0" w:line="240" w:lineRule="auto"/>
        <w:jc w:val="both"/>
        <w:rPr>
          <w:rFonts w:cs="Arial"/>
          <w:color w:val="000000" w:themeColor="text1"/>
        </w:rPr>
      </w:pPr>
      <w:r w:rsidRPr="000F4604">
        <w:rPr>
          <w:rFonts w:cs="Arial"/>
          <w:color w:val="000000" w:themeColor="text1"/>
        </w:rPr>
        <w:t>The age profile remains largely unchanged year on year despite significant changes in the workforce. It does not indicate an ageing workforce over a three year period, but one that is relatively steady.</w:t>
      </w:r>
    </w:p>
    <w:p w:rsidR="009D3F05" w:rsidRDefault="009D3F05" w:rsidP="00681CD4">
      <w:pPr>
        <w:spacing w:after="0" w:line="240" w:lineRule="auto"/>
        <w:rPr>
          <w:rFonts w:cs="Arial"/>
          <w:color w:val="000000" w:themeColor="text1"/>
        </w:rPr>
      </w:pPr>
    </w:p>
    <w:p w:rsidR="009C2202" w:rsidRDefault="009C2202" w:rsidP="00681CD4">
      <w:pPr>
        <w:spacing w:after="0" w:line="240" w:lineRule="auto"/>
        <w:rPr>
          <w:rFonts w:cs="Arial"/>
          <w:color w:val="000000" w:themeColor="text1"/>
        </w:rPr>
      </w:pPr>
      <w:r w:rsidRPr="000F4604">
        <w:rPr>
          <w:rFonts w:cs="Arial"/>
          <w:color w:val="000000" w:themeColor="text1"/>
        </w:rPr>
        <w:t>In respect of the age profile for full and part time established staff, there are slight differentials and shifts year on year.</w:t>
      </w:r>
    </w:p>
    <w:p w:rsidR="009D3F05" w:rsidRPr="000F4604" w:rsidRDefault="009D3F05" w:rsidP="00681CD4">
      <w:pPr>
        <w:spacing w:after="0" w:line="240" w:lineRule="auto"/>
        <w:rPr>
          <w:rFonts w:cs="Arial"/>
          <w:color w:val="000000" w:themeColor="text1"/>
        </w:rPr>
      </w:pP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288"/>
        <w:gridCol w:w="1288"/>
        <w:gridCol w:w="1288"/>
        <w:gridCol w:w="1288"/>
        <w:gridCol w:w="1288"/>
        <w:gridCol w:w="1288"/>
      </w:tblGrid>
      <w:tr w:rsidR="009C2202" w:rsidRPr="000F4604" w:rsidTr="009C2202">
        <w:trPr>
          <w:trHeight w:val="315"/>
        </w:trPr>
        <w:tc>
          <w:tcPr>
            <w:tcW w:w="12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2202" w:rsidRPr="000F4604" w:rsidRDefault="009C2202" w:rsidP="00681CD4">
            <w:pPr>
              <w:spacing w:after="0" w:line="240" w:lineRule="auto"/>
              <w:jc w:val="center"/>
              <w:rPr>
                <w:rFonts w:cs="Arial"/>
                <w:b/>
                <w:bCs/>
                <w:color w:val="000000" w:themeColor="text1"/>
              </w:rPr>
            </w:pPr>
            <w:r w:rsidRPr="000F4604">
              <w:rPr>
                <w:rFonts w:cs="Arial"/>
                <w:b/>
                <w:bCs/>
                <w:color w:val="000000" w:themeColor="text1"/>
              </w:rPr>
              <w:t>Year</w:t>
            </w:r>
          </w:p>
        </w:tc>
        <w:tc>
          <w:tcPr>
            <w:tcW w:w="1288" w:type="dxa"/>
            <w:tcBorders>
              <w:top w:val="single" w:sz="4" w:space="0" w:color="auto"/>
              <w:left w:val="single" w:sz="4" w:space="0" w:color="auto"/>
              <w:bottom w:val="single" w:sz="4" w:space="0" w:color="auto"/>
              <w:right w:val="single" w:sz="4" w:space="0" w:color="auto"/>
            </w:tcBorders>
            <w:vAlign w:val="center"/>
            <w:hideMark/>
          </w:tcPr>
          <w:p w:rsidR="009C2202" w:rsidRPr="000F4604" w:rsidRDefault="009C2202" w:rsidP="00681CD4">
            <w:pPr>
              <w:spacing w:after="0" w:line="240" w:lineRule="auto"/>
              <w:jc w:val="center"/>
              <w:rPr>
                <w:rFonts w:cs="Arial"/>
                <w:b/>
                <w:bCs/>
                <w:color w:val="000000" w:themeColor="text1"/>
              </w:rPr>
            </w:pPr>
            <w:r w:rsidRPr="000F4604">
              <w:rPr>
                <w:rFonts w:cs="Arial"/>
                <w:b/>
                <w:bCs/>
                <w:color w:val="000000" w:themeColor="text1"/>
              </w:rPr>
              <w:t>16-25</w:t>
            </w:r>
          </w:p>
        </w:tc>
        <w:tc>
          <w:tcPr>
            <w:tcW w:w="1288" w:type="dxa"/>
            <w:tcBorders>
              <w:top w:val="single" w:sz="4" w:space="0" w:color="auto"/>
              <w:left w:val="single" w:sz="4" w:space="0" w:color="auto"/>
              <w:bottom w:val="single" w:sz="4" w:space="0" w:color="auto"/>
              <w:right w:val="single" w:sz="4" w:space="0" w:color="auto"/>
            </w:tcBorders>
            <w:vAlign w:val="center"/>
            <w:hideMark/>
          </w:tcPr>
          <w:p w:rsidR="009C2202" w:rsidRPr="000F4604" w:rsidRDefault="009C2202" w:rsidP="00681CD4">
            <w:pPr>
              <w:spacing w:after="0" w:line="240" w:lineRule="auto"/>
              <w:jc w:val="center"/>
              <w:rPr>
                <w:rFonts w:cs="Arial"/>
                <w:b/>
                <w:bCs/>
                <w:color w:val="000000" w:themeColor="text1"/>
              </w:rPr>
            </w:pPr>
            <w:r w:rsidRPr="000F4604">
              <w:rPr>
                <w:rFonts w:cs="Arial"/>
                <w:b/>
                <w:bCs/>
                <w:color w:val="000000" w:themeColor="text1"/>
              </w:rPr>
              <w:t>26-35</w:t>
            </w:r>
          </w:p>
        </w:tc>
        <w:tc>
          <w:tcPr>
            <w:tcW w:w="128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2202" w:rsidRPr="000F4604" w:rsidRDefault="009C2202" w:rsidP="00681CD4">
            <w:pPr>
              <w:spacing w:after="0" w:line="240" w:lineRule="auto"/>
              <w:jc w:val="center"/>
              <w:rPr>
                <w:rFonts w:cs="Arial"/>
                <w:b/>
                <w:bCs/>
                <w:color w:val="000000" w:themeColor="text1"/>
              </w:rPr>
            </w:pPr>
            <w:r w:rsidRPr="000F4604">
              <w:rPr>
                <w:rFonts w:cs="Arial"/>
                <w:b/>
                <w:bCs/>
                <w:color w:val="000000" w:themeColor="text1"/>
              </w:rPr>
              <w:t>36-45</w:t>
            </w:r>
          </w:p>
        </w:tc>
        <w:tc>
          <w:tcPr>
            <w:tcW w:w="128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C2202" w:rsidRPr="000F4604" w:rsidRDefault="009C2202" w:rsidP="00681CD4">
            <w:pPr>
              <w:spacing w:after="0" w:line="240" w:lineRule="auto"/>
              <w:jc w:val="center"/>
              <w:rPr>
                <w:rFonts w:cs="Arial"/>
                <w:b/>
                <w:bCs/>
                <w:color w:val="000000" w:themeColor="text1"/>
              </w:rPr>
            </w:pPr>
            <w:r w:rsidRPr="000F4604">
              <w:rPr>
                <w:rFonts w:cs="Arial"/>
                <w:b/>
                <w:bCs/>
                <w:color w:val="000000" w:themeColor="text1"/>
              </w:rPr>
              <w:t>46-55</w:t>
            </w:r>
          </w:p>
        </w:tc>
        <w:tc>
          <w:tcPr>
            <w:tcW w:w="1288" w:type="dxa"/>
            <w:tcBorders>
              <w:top w:val="single" w:sz="4" w:space="0" w:color="auto"/>
              <w:left w:val="single" w:sz="4" w:space="0" w:color="auto"/>
              <w:bottom w:val="single" w:sz="4" w:space="0" w:color="auto"/>
              <w:right w:val="single" w:sz="4" w:space="0" w:color="auto"/>
            </w:tcBorders>
            <w:vAlign w:val="center"/>
            <w:hideMark/>
          </w:tcPr>
          <w:p w:rsidR="009C2202" w:rsidRPr="000F4604" w:rsidRDefault="009C2202" w:rsidP="00681CD4">
            <w:pPr>
              <w:spacing w:after="0" w:line="240" w:lineRule="auto"/>
              <w:jc w:val="center"/>
              <w:rPr>
                <w:rFonts w:cs="Arial"/>
                <w:b/>
                <w:bCs/>
                <w:color w:val="000000" w:themeColor="text1"/>
              </w:rPr>
            </w:pPr>
            <w:r w:rsidRPr="000F4604">
              <w:rPr>
                <w:rFonts w:cs="Arial"/>
                <w:b/>
                <w:bCs/>
                <w:color w:val="000000" w:themeColor="text1"/>
              </w:rPr>
              <w:t>56-60</w:t>
            </w:r>
          </w:p>
        </w:tc>
        <w:tc>
          <w:tcPr>
            <w:tcW w:w="1288" w:type="dxa"/>
            <w:tcBorders>
              <w:top w:val="single" w:sz="4" w:space="0" w:color="auto"/>
              <w:left w:val="single" w:sz="4" w:space="0" w:color="auto"/>
              <w:bottom w:val="single" w:sz="4" w:space="0" w:color="auto"/>
              <w:right w:val="single" w:sz="4" w:space="0" w:color="auto"/>
            </w:tcBorders>
            <w:vAlign w:val="center"/>
            <w:hideMark/>
          </w:tcPr>
          <w:p w:rsidR="009C2202" w:rsidRPr="000F4604" w:rsidRDefault="009C2202" w:rsidP="00681CD4">
            <w:pPr>
              <w:spacing w:after="0" w:line="240" w:lineRule="auto"/>
              <w:jc w:val="center"/>
              <w:rPr>
                <w:rFonts w:cs="Arial"/>
                <w:b/>
                <w:bCs/>
                <w:color w:val="000000" w:themeColor="text1"/>
              </w:rPr>
            </w:pPr>
            <w:r w:rsidRPr="000F4604">
              <w:rPr>
                <w:rFonts w:cs="Arial"/>
                <w:b/>
                <w:bCs/>
                <w:color w:val="000000" w:themeColor="text1"/>
              </w:rPr>
              <w:t>61+</w:t>
            </w:r>
          </w:p>
        </w:tc>
      </w:tr>
      <w:tr w:rsidR="009C2202" w:rsidRPr="000F4604" w:rsidTr="009C2202">
        <w:trPr>
          <w:trHeight w:val="315"/>
        </w:trPr>
        <w:tc>
          <w:tcPr>
            <w:tcW w:w="128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11/12</w:t>
            </w:r>
          </w:p>
        </w:tc>
        <w:tc>
          <w:tcPr>
            <w:tcW w:w="1288" w:type="dxa"/>
            <w:tcBorders>
              <w:top w:val="single" w:sz="4" w:space="0" w:color="auto"/>
              <w:left w:val="single" w:sz="4" w:space="0" w:color="auto"/>
              <w:bottom w:val="single" w:sz="4" w:space="0" w:color="auto"/>
              <w:right w:val="single" w:sz="4" w:space="0" w:color="auto"/>
            </w:tcBorders>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4%</w:t>
            </w:r>
          </w:p>
        </w:tc>
        <w:tc>
          <w:tcPr>
            <w:tcW w:w="1288" w:type="dxa"/>
            <w:tcBorders>
              <w:top w:val="single" w:sz="4" w:space="0" w:color="auto"/>
              <w:left w:val="single" w:sz="4" w:space="0" w:color="auto"/>
              <w:bottom w:val="single" w:sz="4" w:space="0" w:color="auto"/>
              <w:right w:val="single" w:sz="4" w:space="0" w:color="auto"/>
            </w:tcBorders>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19%</w:t>
            </w:r>
          </w:p>
        </w:tc>
        <w:tc>
          <w:tcPr>
            <w:tcW w:w="128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29%</w:t>
            </w:r>
          </w:p>
        </w:tc>
        <w:tc>
          <w:tcPr>
            <w:tcW w:w="128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32%</w:t>
            </w:r>
          </w:p>
        </w:tc>
        <w:tc>
          <w:tcPr>
            <w:tcW w:w="1288" w:type="dxa"/>
            <w:tcBorders>
              <w:top w:val="single" w:sz="4" w:space="0" w:color="auto"/>
              <w:left w:val="single" w:sz="4" w:space="0" w:color="auto"/>
              <w:bottom w:val="single" w:sz="4" w:space="0" w:color="auto"/>
              <w:right w:val="single" w:sz="4" w:space="0" w:color="auto"/>
            </w:tcBorders>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11%</w:t>
            </w:r>
          </w:p>
        </w:tc>
        <w:tc>
          <w:tcPr>
            <w:tcW w:w="1288" w:type="dxa"/>
            <w:tcBorders>
              <w:top w:val="single" w:sz="4" w:space="0" w:color="auto"/>
              <w:left w:val="single" w:sz="4" w:space="0" w:color="auto"/>
              <w:bottom w:val="single" w:sz="4" w:space="0" w:color="auto"/>
              <w:right w:val="single" w:sz="4" w:space="0" w:color="auto"/>
            </w:tcBorders>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5%</w:t>
            </w:r>
          </w:p>
        </w:tc>
      </w:tr>
      <w:tr w:rsidR="009C2202" w:rsidRPr="000F4604" w:rsidTr="009C2202">
        <w:trPr>
          <w:trHeight w:val="315"/>
        </w:trPr>
        <w:tc>
          <w:tcPr>
            <w:tcW w:w="128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12/13</w:t>
            </w:r>
          </w:p>
        </w:tc>
        <w:tc>
          <w:tcPr>
            <w:tcW w:w="1288" w:type="dxa"/>
            <w:tcBorders>
              <w:top w:val="single" w:sz="4" w:space="0" w:color="auto"/>
              <w:left w:val="single" w:sz="4" w:space="0" w:color="auto"/>
              <w:bottom w:val="single" w:sz="4" w:space="0" w:color="auto"/>
              <w:right w:val="single" w:sz="4" w:space="0" w:color="auto"/>
            </w:tcBorders>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4%</w:t>
            </w:r>
          </w:p>
        </w:tc>
        <w:tc>
          <w:tcPr>
            <w:tcW w:w="1288" w:type="dxa"/>
            <w:tcBorders>
              <w:top w:val="single" w:sz="4" w:space="0" w:color="auto"/>
              <w:left w:val="single" w:sz="4" w:space="0" w:color="auto"/>
              <w:bottom w:val="single" w:sz="4" w:space="0" w:color="auto"/>
              <w:right w:val="single" w:sz="4" w:space="0" w:color="auto"/>
            </w:tcBorders>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20%</w:t>
            </w:r>
          </w:p>
        </w:tc>
        <w:tc>
          <w:tcPr>
            <w:tcW w:w="128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28%</w:t>
            </w:r>
          </w:p>
        </w:tc>
        <w:tc>
          <w:tcPr>
            <w:tcW w:w="128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31%</w:t>
            </w:r>
          </w:p>
        </w:tc>
        <w:tc>
          <w:tcPr>
            <w:tcW w:w="1288" w:type="dxa"/>
            <w:tcBorders>
              <w:top w:val="single" w:sz="4" w:space="0" w:color="auto"/>
              <w:left w:val="single" w:sz="4" w:space="0" w:color="auto"/>
              <w:bottom w:val="single" w:sz="4" w:space="0" w:color="auto"/>
              <w:right w:val="single" w:sz="4" w:space="0" w:color="auto"/>
            </w:tcBorders>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11%</w:t>
            </w:r>
          </w:p>
        </w:tc>
        <w:tc>
          <w:tcPr>
            <w:tcW w:w="1288" w:type="dxa"/>
            <w:tcBorders>
              <w:top w:val="single" w:sz="4" w:space="0" w:color="auto"/>
              <w:left w:val="single" w:sz="4" w:space="0" w:color="auto"/>
              <w:bottom w:val="single" w:sz="4" w:space="0" w:color="auto"/>
              <w:right w:val="single" w:sz="4" w:space="0" w:color="auto"/>
            </w:tcBorders>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6%</w:t>
            </w:r>
          </w:p>
        </w:tc>
      </w:tr>
      <w:tr w:rsidR="009C2202" w:rsidRPr="000F4604" w:rsidTr="009C2202">
        <w:trPr>
          <w:trHeight w:val="315"/>
        </w:trPr>
        <w:tc>
          <w:tcPr>
            <w:tcW w:w="128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13/14</w:t>
            </w:r>
          </w:p>
        </w:tc>
        <w:tc>
          <w:tcPr>
            <w:tcW w:w="1288" w:type="dxa"/>
            <w:tcBorders>
              <w:top w:val="single" w:sz="4" w:space="0" w:color="auto"/>
              <w:left w:val="single" w:sz="4" w:space="0" w:color="auto"/>
              <w:bottom w:val="single" w:sz="4" w:space="0" w:color="auto"/>
              <w:right w:val="single" w:sz="4" w:space="0" w:color="auto"/>
            </w:tcBorders>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4%</w:t>
            </w:r>
          </w:p>
        </w:tc>
        <w:tc>
          <w:tcPr>
            <w:tcW w:w="1288" w:type="dxa"/>
            <w:tcBorders>
              <w:top w:val="single" w:sz="4" w:space="0" w:color="auto"/>
              <w:left w:val="single" w:sz="4" w:space="0" w:color="auto"/>
              <w:bottom w:val="single" w:sz="4" w:space="0" w:color="auto"/>
              <w:right w:val="single" w:sz="4" w:space="0" w:color="auto"/>
            </w:tcBorders>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20%</w:t>
            </w:r>
          </w:p>
        </w:tc>
        <w:tc>
          <w:tcPr>
            <w:tcW w:w="128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27%</w:t>
            </w:r>
          </w:p>
        </w:tc>
        <w:tc>
          <w:tcPr>
            <w:tcW w:w="128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33%</w:t>
            </w:r>
          </w:p>
        </w:tc>
        <w:tc>
          <w:tcPr>
            <w:tcW w:w="1288" w:type="dxa"/>
            <w:tcBorders>
              <w:top w:val="single" w:sz="4" w:space="0" w:color="auto"/>
              <w:left w:val="single" w:sz="4" w:space="0" w:color="auto"/>
              <w:bottom w:val="single" w:sz="4" w:space="0" w:color="auto"/>
              <w:right w:val="single" w:sz="4" w:space="0" w:color="auto"/>
            </w:tcBorders>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11%</w:t>
            </w:r>
          </w:p>
        </w:tc>
        <w:tc>
          <w:tcPr>
            <w:tcW w:w="1288" w:type="dxa"/>
            <w:tcBorders>
              <w:top w:val="single" w:sz="4" w:space="0" w:color="auto"/>
              <w:left w:val="single" w:sz="4" w:space="0" w:color="auto"/>
              <w:bottom w:val="single" w:sz="4" w:space="0" w:color="auto"/>
              <w:right w:val="single" w:sz="4" w:space="0" w:color="auto"/>
            </w:tcBorders>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5%</w:t>
            </w:r>
          </w:p>
        </w:tc>
      </w:tr>
      <w:tr w:rsidR="009C2202" w:rsidRPr="000F4604" w:rsidTr="009C2202">
        <w:trPr>
          <w:trHeight w:val="315"/>
        </w:trPr>
        <w:tc>
          <w:tcPr>
            <w:tcW w:w="128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14/15</w:t>
            </w:r>
          </w:p>
        </w:tc>
        <w:tc>
          <w:tcPr>
            <w:tcW w:w="1288" w:type="dxa"/>
            <w:tcBorders>
              <w:top w:val="single" w:sz="4" w:space="0" w:color="auto"/>
              <w:left w:val="single" w:sz="4" w:space="0" w:color="auto"/>
              <w:bottom w:val="single" w:sz="4" w:space="0" w:color="auto"/>
              <w:right w:val="single" w:sz="4" w:space="0" w:color="auto"/>
            </w:tcBorders>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6%</w:t>
            </w:r>
          </w:p>
        </w:tc>
        <w:tc>
          <w:tcPr>
            <w:tcW w:w="1288" w:type="dxa"/>
            <w:tcBorders>
              <w:top w:val="single" w:sz="4" w:space="0" w:color="auto"/>
              <w:left w:val="single" w:sz="4" w:space="0" w:color="auto"/>
              <w:bottom w:val="single" w:sz="4" w:space="0" w:color="auto"/>
              <w:right w:val="single" w:sz="4" w:space="0" w:color="auto"/>
            </w:tcBorders>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19%</w:t>
            </w:r>
          </w:p>
        </w:tc>
        <w:tc>
          <w:tcPr>
            <w:tcW w:w="128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25%</w:t>
            </w:r>
          </w:p>
        </w:tc>
        <w:tc>
          <w:tcPr>
            <w:tcW w:w="128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32%</w:t>
            </w:r>
          </w:p>
        </w:tc>
        <w:tc>
          <w:tcPr>
            <w:tcW w:w="1288" w:type="dxa"/>
            <w:tcBorders>
              <w:top w:val="single" w:sz="4" w:space="0" w:color="auto"/>
              <w:left w:val="single" w:sz="4" w:space="0" w:color="auto"/>
              <w:bottom w:val="single" w:sz="4" w:space="0" w:color="auto"/>
              <w:right w:val="single" w:sz="4" w:space="0" w:color="auto"/>
            </w:tcBorders>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12%</w:t>
            </w:r>
          </w:p>
        </w:tc>
        <w:tc>
          <w:tcPr>
            <w:tcW w:w="1288" w:type="dxa"/>
            <w:tcBorders>
              <w:top w:val="single" w:sz="4" w:space="0" w:color="auto"/>
              <w:left w:val="single" w:sz="4" w:space="0" w:color="auto"/>
              <w:bottom w:val="single" w:sz="4" w:space="0" w:color="auto"/>
              <w:right w:val="single" w:sz="4" w:space="0" w:color="auto"/>
            </w:tcBorders>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6%</w:t>
            </w:r>
          </w:p>
        </w:tc>
      </w:tr>
      <w:tr w:rsidR="009C2202" w:rsidRPr="000F4604" w:rsidTr="009C2202">
        <w:trPr>
          <w:trHeight w:val="315"/>
        </w:trPr>
        <w:tc>
          <w:tcPr>
            <w:tcW w:w="128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Variance</w:t>
            </w:r>
          </w:p>
        </w:tc>
        <w:tc>
          <w:tcPr>
            <w:tcW w:w="1288" w:type="dxa"/>
            <w:tcBorders>
              <w:top w:val="single" w:sz="4" w:space="0" w:color="auto"/>
              <w:left w:val="single" w:sz="4" w:space="0" w:color="auto"/>
              <w:bottom w:val="single" w:sz="4" w:space="0" w:color="auto"/>
              <w:right w:val="single" w:sz="4" w:space="0" w:color="auto"/>
            </w:tcBorders>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+2%</w:t>
            </w:r>
          </w:p>
        </w:tc>
        <w:tc>
          <w:tcPr>
            <w:tcW w:w="1288" w:type="dxa"/>
            <w:tcBorders>
              <w:top w:val="single" w:sz="4" w:space="0" w:color="auto"/>
              <w:left w:val="single" w:sz="4" w:space="0" w:color="auto"/>
              <w:bottom w:val="single" w:sz="4" w:space="0" w:color="auto"/>
              <w:right w:val="single" w:sz="4" w:space="0" w:color="auto"/>
            </w:tcBorders>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-1%</w:t>
            </w:r>
          </w:p>
        </w:tc>
        <w:tc>
          <w:tcPr>
            <w:tcW w:w="128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-2</w:t>
            </w:r>
          </w:p>
        </w:tc>
        <w:tc>
          <w:tcPr>
            <w:tcW w:w="128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-1%</w:t>
            </w:r>
          </w:p>
        </w:tc>
        <w:tc>
          <w:tcPr>
            <w:tcW w:w="1288" w:type="dxa"/>
            <w:tcBorders>
              <w:top w:val="single" w:sz="4" w:space="0" w:color="auto"/>
              <w:left w:val="single" w:sz="4" w:space="0" w:color="auto"/>
              <w:bottom w:val="single" w:sz="4" w:space="0" w:color="auto"/>
              <w:right w:val="single" w:sz="4" w:space="0" w:color="auto"/>
            </w:tcBorders>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+1</w:t>
            </w:r>
          </w:p>
        </w:tc>
        <w:tc>
          <w:tcPr>
            <w:tcW w:w="1288" w:type="dxa"/>
            <w:tcBorders>
              <w:top w:val="single" w:sz="4" w:space="0" w:color="auto"/>
              <w:left w:val="single" w:sz="4" w:space="0" w:color="auto"/>
              <w:bottom w:val="single" w:sz="4" w:space="0" w:color="auto"/>
              <w:right w:val="single" w:sz="4" w:space="0" w:color="auto"/>
            </w:tcBorders>
            <w:noWrap/>
            <w:vAlign w:val="center"/>
            <w:hideMark/>
          </w:tcPr>
          <w:p w:rsidR="009C2202" w:rsidRPr="000F4604" w:rsidRDefault="009C2202" w:rsidP="00681CD4">
            <w:pPr>
              <w:spacing w:after="0" w:line="240" w:lineRule="auto"/>
              <w:jc w:val="center"/>
              <w:rPr>
                <w:rFonts w:cs="Arial"/>
                <w:color w:val="000000" w:themeColor="text1"/>
              </w:rPr>
            </w:pPr>
            <w:r w:rsidRPr="000F4604">
              <w:rPr>
                <w:rFonts w:cs="Arial"/>
                <w:color w:val="000000" w:themeColor="text1"/>
              </w:rPr>
              <w:t>+1%</w:t>
            </w:r>
          </w:p>
        </w:tc>
      </w:tr>
    </w:tbl>
    <w:p w:rsidR="009C2202" w:rsidRPr="000F4604" w:rsidRDefault="009C2202" w:rsidP="00681CD4">
      <w:pPr>
        <w:spacing w:after="0" w:line="240" w:lineRule="auto"/>
        <w:jc w:val="both"/>
        <w:rPr>
          <w:rFonts w:cs="Arial"/>
          <w:color w:val="000000"/>
          <w:highlight w:val="yellow"/>
          <w:u w:val="single"/>
        </w:rPr>
      </w:pPr>
    </w:p>
    <w:p w:rsidR="009C2202" w:rsidRPr="000F4604" w:rsidRDefault="009C2202" w:rsidP="00681CD4">
      <w:pPr>
        <w:spacing w:after="0" w:line="240" w:lineRule="auto"/>
        <w:jc w:val="both"/>
        <w:rPr>
          <w:rFonts w:cs="Arial"/>
          <w:color w:val="000000"/>
          <w:highlight w:val="yellow"/>
          <w:u w:val="single"/>
        </w:rPr>
      </w:pPr>
    </w:p>
    <w:p w:rsidR="00965CF2" w:rsidRPr="000F4604" w:rsidRDefault="00CC729F" w:rsidP="00681CD4">
      <w:pPr>
        <w:spacing w:after="0" w:line="240" w:lineRule="auto"/>
        <w:jc w:val="both"/>
        <w:rPr>
          <w:rFonts w:cs="Arial"/>
        </w:rPr>
      </w:pPr>
      <w:r w:rsidRPr="000F4604">
        <w:rPr>
          <w:rFonts w:cs="Arial"/>
        </w:rPr>
        <w:t>In conclusion a</w:t>
      </w:r>
      <w:r w:rsidR="00965CF2" w:rsidRPr="000F4604">
        <w:rPr>
          <w:rFonts w:cs="Arial"/>
        </w:rPr>
        <w:t xml:space="preserve">ll HR policies and practices reflect good practice in EDI and are legislatively compliant. </w:t>
      </w:r>
      <w:r w:rsidR="009C2202" w:rsidRPr="000F4604">
        <w:rPr>
          <w:rFonts w:cs="Arial"/>
        </w:rPr>
        <w:t>An ongoing aim for HR in 2015/16 is to extend the diversity of the workforce to better reflect the population of Nottingham and the learner profile</w:t>
      </w:r>
      <w:r w:rsidR="00832D7F">
        <w:rPr>
          <w:rFonts w:cs="Arial"/>
        </w:rPr>
        <w:t>;</w:t>
      </w:r>
      <w:r w:rsidR="009C2202" w:rsidRPr="000F4604">
        <w:rPr>
          <w:rFonts w:cs="Arial"/>
        </w:rPr>
        <w:t xml:space="preserve"> and will be engaged with Marketing to develop the prominence of the college’s own jobs on the website and to attend local jobs fairs to improve application rates from all communities.</w:t>
      </w:r>
    </w:p>
    <w:p w:rsidR="00E82BAB" w:rsidRPr="000F4604" w:rsidRDefault="00E82BAB" w:rsidP="00681CD4">
      <w:pPr>
        <w:spacing w:after="0" w:line="240" w:lineRule="auto"/>
        <w:ind w:left="720"/>
        <w:jc w:val="both"/>
        <w:rPr>
          <w:rFonts w:cs="Arial"/>
        </w:rPr>
      </w:pPr>
      <w:r w:rsidRPr="000F4604">
        <w:rPr>
          <w:rFonts w:cs="Arial"/>
        </w:rPr>
        <w:t>.</w:t>
      </w:r>
    </w:p>
    <w:p w:rsidR="00965CF2" w:rsidRPr="000F4604" w:rsidRDefault="001B4485" w:rsidP="00681CD4">
      <w:pPr>
        <w:spacing w:after="0" w:line="240" w:lineRule="auto"/>
        <w:jc w:val="both"/>
        <w:rPr>
          <w:rFonts w:cs="Arial"/>
          <w:b/>
        </w:rPr>
      </w:pPr>
      <w:r w:rsidRPr="000F4604">
        <w:rPr>
          <w:rFonts w:cs="Arial"/>
          <w:b/>
        </w:rPr>
        <w:t>9</w:t>
      </w:r>
      <w:r w:rsidR="000504ED" w:rsidRPr="000F4604">
        <w:rPr>
          <w:rFonts w:cs="Arial"/>
          <w:b/>
        </w:rPr>
        <w:t>. Learner Profile</w:t>
      </w:r>
    </w:p>
    <w:p w:rsidR="00DD0860" w:rsidRPr="000F4604" w:rsidRDefault="00F6052C" w:rsidP="00681CD4">
      <w:pPr>
        <w:spacing w:after="0" w:line="240" w:lineRule="auto"/>
        <w:jc w:val="both"/>
        <w:rPr>
          <w:rFonts w:cs="Arial"/>
        </w:rPr>
      </w:pPr>
      <w:r w:rsidRPr="000F4604">
        <w:rPr>
          <w:rFonts w:cs="Arial"/>
        </w:rPr>
        <w:t xml:space="preserve">The College reports on the following protected characteristics for learners: Age, </w:t>
      </w:r>
      <w:r w:rsidR="00DD0860" w:rsidRPr="000F4604">
        <w:rPr>
          <w:rFonts w:cs="Arial"/>
        </w:rPr>
        <w:t>Gender, Ethnicity, Disability, Sexual Orientation and Religion and Belief</w:t>
      </w:r>
      <w:r w:rsidRPr="000F4604">
        <w:rPr>
          <w:rFonts w:cs="Arial"/>
        </w:rPr>
        <w:t>. The learner journey is mappe</w:t>
      </w:r>
      <w:r w:rsidR="00692E69" w:rsidRPr="000F4604">
        <w:rPr>
          <w:rFonts w:cs="Arial"/>
        </w:rPr>
        <w:t>d from application to enrolment</w:t>
      </w:r>
      <w:r w:rsidRPr="000F4604">
        <w:rPr>
          <w:rFonts w:cs="Arial"/>
        </w:rPr>
        <w:t xml:space="preserve"> </w:t>
      </w:r>
      <w:r w:rsidR="00692E69" w:rsidRPr="000F4604">
        <w:rPr>
          <w:rFonts w:cs="Arial"/>
        </w:rPr>
        <w:t xml:space="preserve">and once </w:t>
      </w:r>
      <w:r w:rsidR="00C4551E" w:rsidRPr="000F4604">
        <w:rPr>
          <w:rFonts w:cs="Arial"/>
        </w:rPr>
        <w:t>enrolled, includes</w:t>
      </w:r>
      <w:r w:rsidRPr="000F4604">
        <w:rPr>
          <w:rFonts w:cs="Arial"/>
        </w:rPr>
        <w:t xml:space="preserve"> retention, achievement and overall success. </w:t>
      </w:r>
      <w:r w:rsidR="00CB69D3" w:rsidRPr="000F4604">
        <w:rPr>
          <w:rFonts w:cs="Arial"/>
        </w:rPr>
        <w:t xml:space="preserve">EDI </w:t>
      </w:r>
      <w:r w:rsidRPr="000F4604">
        <w:rPr>
          <w:rFonts w:cs="Arial"/>
        </w:rPr>
        <w:t>information</w:t>
      </w:r>
      <w:r w:rsidR="00CB69D3" w:rsidRPr="000F4604">
        <w:rPr>
          <w:rFonts w:cs="Arial"/>
        </w:rPr>
        <w:t xml:space="preserve"> on learners</w:t>
      </w:r>
      <w:r w:rsidRPr="000F4604">
        <w:rPr>
          <w:rFonts w:cs="Arial"/>
        </w:rPr>
        <w:t xml:space="preserve"> is analysed over 3 years and is benchmarked against national </w:t>
      </w:r>
      <w:r w:rsidR="00CB69D3" w:rsidRPr="000F4604">
        <w:rPr>
          <w:rFonts w:cs="Arial"/>
        </w:rPr>
        <w:t>rates</w:t>
      </w:r>
      <w:r w:rsidR="00DD0860" w:rsidRPr="000F4604">
        <w:rPr>
          <w:rFonts w:cs="Arial"/>
        </w:rPr>
        <w:t>. (Monitoring of sexual orientation and religion and belief has only 1 year comparative data)</w:t>
      </w:r>
    </w:p>
    <w:p w:rsidR="00263B09" w:rsidRPr="000F4604" w:rsidRDefault="00263B09" w:rsidP="00681CD4">
      <w:pPr>
        <w:spacing w:after="0" w:line="240" w:lineRule="auto"/>
        <w:jc w:val="both"/>
        <w:rPr>
          <w:rFonts w:eastAsia="SimSun" w:cs="Arial"/>
          <w:lang w:eastAsia="zh-CN"/>
        </w:rPr>
      </w:pPr>
    </w:p>
    <w:p w:rsidR="00F6052C" w:rsidRPr="000F4604" w:rsidRDefault="00CB69D3" w:rsidP="00681CD4">
      <w:pPr>
        <w:spacing w:after="0" w:line="240" w:lineRule="auto"/>
        <w:jc w:val="both"/>
        <w:rPr>
          <w:rFonts w:cs="Arial"/>
        </w:rPr>
      </w:pPr>
      <w:r w:rsidRPr="000F4604">
        <w:rPr>
          <w:rFonts w:cs="Arial"/>
        </w:rPr>
        <w:t xml:space="preserve">The following shows the learner profile against the protected characteristics that </w:t>
      </w:r>
      <w:r w:rsidR="00692E69" w:rsidRPr="000F4604">
        <w:rPr>
          <w:rFonts w:cs="Arial"/>
        </w:rPr>
        <w:t xml:space="preserve">the College is </w:t>
      </w:r>
      <w:r w:rsidRPr="000F4604">
        <w:rPr>
          <w:rFonts w:cs="Arial"/>
        </w:rPr>
        <w:t>currently able to measure for the last academic year (201</w:t>
      </w:r>
      <w:r w:rsidR="00DD0860" w:rsidRPr="000F4604">
        <w:rPr>
          <w:rFonts w:cs="Arial"/>
        </w:rPr>
        <w:t>4</w:t>
      </w:r>
      <w:r w:rsidRPr="000F4604">
        <w:rPr>
          <w:rFonts w:cs="Arial"/>
        </w:rPr>
        <w:t>-201</w:t>
      </w:r>
      <w:r w:rsidR="00DD0860" w:rsidRPr="000F4604">
        <w:rPr>
          <w:rFonts w:cs="Arial"/>
        </w:rPr>
        <w:t>5</w:t>
      </w:r>
      <w:r w:rsidRPr="000F4604">
        <w:rPr>
          <w:rFonts w:cs="Arial"/>
        </w:rPr>
        <w:t>)</w:t>
      </w:r>
      <w:r w:rsidR="00692E69" w:rsidRPr="000F4604">
        <w:rPr>
          <w:rFonts w:cs="Arial"/>
        </w:rPr>
        <w:t>:</w:t>
      </w:r>
    </w:p>
    <w:p w:rsidR="00CB69D3" w:rsidRDefault="00CB69D3" w:rsidP="00681CD4">
      <w:pPr>
        <w:spacing w:after="0" w:line="240" w:lineRule="auto"/>
        <w:jc w:val="both"/>
        <w:rPr>
          <w:rFonts w:cs="Arial"/>
        </w:rPr>
      </w:pPr>
    </w:p>
    <w:p w:rsidR="000504ED" w:rsidRPr="000F4604" w:rsidRDefault="000504ED" w:rsidP="00681CD4">
      <w:pPr>
        <w:spacing w:after="0" w:line="240" w:lineRule="auto"/>
        <w:jc w:val="both"/>
        <w:rPr>
          <w:rFonts w:cs="Arial"/>
          <w:u w:val="single"/>
        </w:rPr>
      </w:pPr>
      <w:r w:rsidRPr="000F4604">
        <w:rPr>
          <w:rFonts w:cs="Arial"/>
          <w:u w:val="single"/>
        </w:rPr>
        <w:t>Gender</w:t>
      </w:r>
      <w:r w:rsidR="00CC729F" w:rsidRPr="000F4604">
        <w:rPr>
          <w:rFonts w:cs="Arial"/>
          <w:u w:val="single"/>
        </w:rPr>
        <w:t xml:space="preserve"> profile</w:t>
      </w:r>
    </w:p>
    <w:p w:rsidR="008074FC" w:rsidRPr="000F4604" w:rsidRDefault="008074FC" w:rsidP="00681CD4">
      <w:pPr>
        <w:spacing w:after="0" w:line="240" w:lineRule="auto"/>
        <w:jc w:val="both"/>
        <w:rPr>
          <w:rFonts w:cs="Arial"/>
          <w:u w:val="single"/>
        </w:rPr>
      </w:pPr>
    </w:p>
    <w:tbl>
      <w:tblPr>
        <w:tblW w:w="8379" w:type="dxa"/>
        <w:tblInd w:w="1022" w:type="dxa"/>
        <w:tblLook w:val="04A0" w:firstRow="1" w:lastRow="0" w:firstColumn="1" w:lastColumn="0" w:noHBand="0" w:noVBand="1"/>
      </w:tblPr>
      <w:tblGrid>
        <w:gridCol w:w="950"/>
        <w:gridCol w:w="767"/>
        <w:gridCol w:w="767"/>
        <w:gridCol w:w="826"/>
        <w:gridCol w:w="867"/>
        <w:gridCol w:w="867"/>
        <w:gridCol w:w="867"/>
        <w:gridCol w:w="867"/>
        <w:gridCol w:w="867"/>
        <w:gridCol w:w="867"/>
      </w:tblGrid>
      <w:tr w:rsidR="008074FC" w:rsidRPr="000F4604" w:rsidTr="00554DED">
        <w:trPr>
          <w:trHeight w:val="300"/>
        </w:trPr>
        <w:tc>
          <w:tcPr>
            <w:tcW w:w="817" w:type="dxa"/>
            <w:tcBorders>
              <w:top w:val="single" w:sz="4" w:space="0" w:color="000000"/>
              <w:left w:val="single" w:sz="4" w:space="0" w:color="000000"/>
              <w:bottom w:val="single" w:sz="4" w:space="0" w:color="000000"/>
              <w:right w:val="nil"/>
            </w:tcBorders>
            <w:shd w:val="clear" w:color="auto" w:fill="auto"/>
            <w:noWrap/>
            <w:vAlign w:val="bottom"/>
            <w:hideMark/>
          </w:tcPr>
          <w:p w:rsidR="008074FC" w:rsidRPr="000F4604" w:rsidRDefault="008074FC" w:rsidP="00681CD4">
            <w:pPr>
              <w:spacing w:after="0" w:line="240" w:lineRule="auto"/>
              <w:rPr>
                <w:rFonts w:eastAsia="Times New Roman" w:cs="Arial"/>
                <w:lang w:eastAsia="en-GB"/>
              </w:rPr>
            </w:pPr>
          </w:p>
        </w:tc>
        <w:tc>
          <w:tcPr>
            <w:tcW w:w="2360" w:type="dxa"/>
            <w:gridSpan w:val="3"/>
            <w:tcBorders>
              <w:top w:val="single" w:sz="4" w:space="0" w:color="000000"/>
              <w:left w:val="nil"/>
              <w:bottom w:val="single" w:sz="4" w:space="0" w:color="000000"/>
              <w:right w:val="nil"/>
            </w:tcBorders>
            <w:shd w:val="clear" w:color="auto" w:fill="auto"/>
            <w:noWrap/>
            <w:vAlign w:val="bottom"/>
            <w:hideMark/>
          </w:tcPr>
          <w:p w:rsidR="008074FC" w:rsidRPr="00554DED" w:rsidRDefault="008074FC" w:rsidP="00681CD4">
            <w:pPr>
              <w:spacing w:after="0" w:line="240" w:lineRule="auto"/>
              <w:jc w:val="center"/>
              <w:rPr>
                <w:rFonts w:eastAsia="Times New Roman" w:cs="Arial"/>
                <w:b/>
                <w:lang w:eastAsia="en-GB"/>
              </w:rPr>
            </w:pPr>
            <w:r w:rsidRPr="00554DED">
              <w:rPr>
                <w:rFonts w:eastAsia="Times New Roman" w:cs="Arial"/>
                <w:b/>
                <w:lang w:eastAsia="en-GB"/>
              </w:rPr>
              <w:t>Retention %</w:t>
            </w:r>
          </w:p>
        </w:tc>
        <w:tc>
          <w:tcPr>
            <w:tcW w:w="2601" w:type="dxa"/>
            <w:gridSpan w:val="3"/>
            <w:tcBorders>
              <w:top w:val="single" w:sz="4" w:space="0" w:color="000000"/>
              <w:left w:val="nil"/>
              <w:bottom w:val="single" w:sz="4" w:space="0" w:color="000000"/>
              <w:right w:val="nil"/>
            </w:tcBorders>
            <w:shd w:val="clear" w:color="auto" w:fill="auto"/>
            <w:noWrap/>
            <w:vAlign w:val="bottom"/>
            <w:hideMark/>
          </w:tcPr>
          <w:p w:rsidR="008074FC" w:rsidRPr="00554DED" w:rsidRDefault="008074FC" w:rsidP="00681CD4">
            <w:pPr>
              <w:spacing w:after="0" w:line="240" w:lineRule="auto"/>
              <w:jc w:val="center"/>
              <w:rPr>
                <w:rFonts w:eastAsia="Times New Roman" w:cs="Arial"/>
                <w:b/>
                <w:lang w:eastAsia="en-GB"/>
              </w:rPr>
            </w:pPr>
            <w:r w:rsidRPr="00554DED">
              <w:rPr>
                <w:rFonts w:eastAsia="Times New Roman" w:cs="Arial"/>
                <w:b/>
                <w:lang w:eastAsia="en-GB"/>
              </w:rPr>
              <w:t>Achievement %</w:t>
            </w:r>
          </w:p>
        </w:tc>
        <w:tc>
          <w:tcPr>
            <w:tcW w:w="260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8074FC" w:rsidRPr="00554DED" w:rsidRDefault="008074FC" w:rsidP="00681CD4">
            <w:pPr>
              <w:spacing w:after="0" w:line="240" w:lineRule="auto"/>
              <w:jc w:val="center"/>
              <w:rPr>
                <w:rFonts w:eastAsia="Times New Roman" w:cs="Arial"/>
                <w:b/>
                <w:lang w:eastAsia="en-GB"/>
              </w:rPr>
            </w:pPr>
            <w:r w:rsidRPr="00554DED">
              <w:rPr>
                <w:rFonts w:eastAsia="Times New Roman" w:cs="Arial"/>
                <w:b/>
                <w:lang w:eastAsia="en-GB"/>
              </w:rPr>
              <w:t>SSR%</w:t>
            </w:r>
          </w:p>
        </w:tc>
      </w:tr>
      <w:tr w:rsidR="008074FC" w:rsidRPr="000F4604" w:rsidTr="005E3739">
        <w:trPr>
          <w:trHeight w:val="360"/>
        </w:trPr>
        <w:tc>
          <w:tcPr>
            <w:tcW w:w="817"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Gender</w:t>
            </w:r>
          </w:p>
        </w:tc>
        <w:tc>
          <w:tcPr>
            <w:tcW w:w="740" w:type="dxa"/>
            <w:tcBorders>
              <w:top w:val="single" w:sz="4" w:space="0" w:color="000000"/>
              <w:left w:val="single" w:sz="4" w:space="0" w:color="000000"/>
              <w:bottom w:val="single" w:sz="4" w:space="0" w:color="000000"/>
              <w:right w:val="nil"/>
            </w:tcBorders>
            <w:shd w:val="clear" w:color="FFFFFF" w:fill="FFFFFF"/>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12/13</w:t>
            </w:r>
          </w:p>
        </w:tc>
        <w:tc>
          <w:tcPr>
            <w:tcW w:w="753" w:type="dxa"/>
            <w:tcBorders>
              <w:top w:val="single" w:sz="4" w:space="0" w:color="000000"/>
              <w:left w:val="nil"/>
              <w:bottom w:val="single" w:sz="4" w:space="0" w:color="000000"/>
              <w:right w:val="nil"/>
            </w:tcBorders>
            <w:shd w:val="clear" w:color="FFFFFF" w:fill="FFFFFF"/>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13/14</w:t>
            </w:r>
          </w:p>
        </w:tc>
        <w:tc>
          <w:tcPr>
            <w:tcW w:w="867" w:type="dxa"/>
            <w:tcBorders>
              <w:top w:val="single" w:sz="4" w:space="0" w:color="000000"/>
              <w:left w:val="nil"/>
              <w:bottom w:val="single" w:sz="4" w:space="0" w:color="000000"/>
              <w:right w:val="single" w:sz="4" w:space="0" w:color="000000"/>
            </w:tcBorders>
            <w:shd w:val="clear" w:color="FFFFFF" w:fill="FFFFFF"/>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14/15</w:t>
            </w:r>
          </w:p>
        </w:tc>
        <w:tc>
          <w:tcPr>
            <w:tcW w:w="867" w:type="dxa"/>
            <w:tcBorders>
              <w:top w:val="single" w:sz="4" w:space="0" w:color="000000"/>
              <w:left w:val="single" w:sz="4" w:space="0" w:color="000000"/>
              <w:bottom w:val="single" w:sz="4" w:space="0" w:color="000000"/>
              <w:right w:val="nil"/>
            </w:tcBorders>
            <w:shd w:val="clear" w:color="FFFFFF" w:fill="FFFFFF"/>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12/13</w:t>
            </w:r>
          </w:p>
        </w:tc>
        <w:tc>
          <w:tcPr>
            <w:tcW w:w="867" w:type="dxa"/>
            <w:tcBorders>
              <w:top w:val="single" w:sz="4" w:space="0" w:color="000000"/>
              <w:left w:val="nil"/>
              <w:bottom w:val="single" w:sz="4" w:space="0" w:color="000000"/>
              <w:right w:val="nil"/>
            </w:tcBorders>
            <w:shd w:val="clear" w:color="FFFFFF" w:fill="FFFFFF"/>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13/14</w:t>
            </w:r>
          </w:p>
        </w:tc>
        <w:tc>
          <w:tcPr>
            <w:tcW w:w="867" w:type="dxa"/>
            <w:tcBorders>
              <w:top w:val="single" w:sz="4" w:space="0" w:color="000000"/>
              <w:left w:val="nil"/>
              <w:bottom w:val="single" w:sz="4" w:space="0" w:color="000000"/>
              <w:right w:val="single" w:sz="4" w:space="0" w:color="000000"/>
            </w:tcBorders>
            <w:shd w:val="clear" w:color="FFFFFF" w:fill="FFFFFF"/>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14/15</w:t>
            </w:r>
          </w:p>
        </w:tc>
        <w:tc>
          <w:tcPr>
            <w:tcW w:w="867" w:type="dxa"/>
            <w:tcBorders>
              <w:top w:val="single" w:sz="4" w:space="0" w:color="000000"/>
              <w:left w:val="single" w:sz="4" w:space="0" w:color="000000"/>
              <w:bottom w:val="single" w:sz="4" w:space="0" w:color="000000"/>
              <w:right w:val="nil"/>
            </w:tcBorders>
            <w:shd w:val="clear" w:color="FFFFFF" w:fill="FFFFFF"/>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12/13</w:t>
            </w:r>
          </w:p>
        </w:tc>
        <w:tc>
          <w:tcPr>
            <w:tcW w:w="867" w:type="dxa"/>
            <w:tcBorders>
              <w:top w:val="single" w:sz="4" w:space="0" w:color="000000"/>
              <w:left w:val="nil"/>
              <w:bottom w:val="single" w:sz="4" w:space="0" w:color="000000"/>
              <w:right w:val="nil"/>
            </w:tcBorders>
            <w:shd w:val="clear" w:color="FFFFFF" w:fill="FFFFFF"/>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13/14</w:t>
            </w:r>
          </w:p>
        </w:tc>
        <w:tc>
          <w:tcPr>
            <w:tcW w:w="867" w:type="dxa"/>
            <w:tcBorders>
              <w:top w:val="single" w:sz="4" w:space="0" w:color="000000"/>
              <w:left w:val="nil"/>
              <w:bottom w:val="single" w:sz="4" w:space="0" w:color="000000"/>
              <w:right w:val="single" w:sz="4" w:space="0" w:color="000000"/>
            </w:tcBorders>
            <w:shd w:val="clear" w:color="FFFFFF" w:fill="FFFFFF"/>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14/15</w:t>
            </w:r>
          </w:p>
        </w:tc>
      </w:tr>
      <w:tr w:rsidR="008074FC" w:rsidRPr="000F4604" w:rsidTr="005E3739">
        <w:trPr>
          <w:trHeight w:val="300"/>
        </w:trPr>
        <w:tc>
          <w:tcPr>
            <w:tcW w:w="817" w:type="dxa"/>
            <w:tcBorders>
              <w:top w:val="nil"/>
              <w:left w:val="single" w:sz="4" w:space="0" w:color="000000"/>
              <w:bottom w:val="nil"/>
              <w:right w:val="single" w:sz="4" w:space="0" w:color="000000"/>
            </w:tcBorders>
            <w:shd w:val="clear" w:color="FFFFFF" w:fill="FFFFFF"/>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F</w:t>
            </w:r>
          </w:p>
        </w:tc>
        <w:tc>
          <w:tcPr>
            <w:tcW w:w="740" w:type="dxa"/>
            <w:tcBorders>
              <w:top w:val="single" w:sz="4" w:space="0" w:color="000000"/>
              <w:left w:val="single" w:sz="4" w:space="0" w:color="000000"/>
              <w:bottom w:val="nil"/>
              <w:right w:val="nil"/>
            </w:tcBorders>
            <w:shd w:val="clear" w:color="99CCFF" w:fill="EEECE1" w:themeFill="background2"/>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89</w:t>
            </w:r>
          </w:p>
        </w:tc>
        <w:tc>
          <w:tcPr>
            <w:tcW w:w="753" w:type="dxa"/>
            <w:tcBorders>
              <w:top w:val="single" w:sz="4" w:space="0" w:color="000000"/>
              <w:left w:val="nil"/>
              <w:bottom w:val="nil"/>
              <w:right w:val="nil"/>
            </w:tcBorders>
            <w:shd w:val="clear" w:color="99CCFF" w:fill="EEECE1" w:themeFill="background2"/>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91</w:t>
            </w:r>
          </w:p>
        </w:tc>
        <w:tc>
          <w:tcPr>
            <w:tcW w:w="867" w:type="dxa"/>
            <w:tcBorders>
              <w:top w:val="single" w:sz="4" w:space="0" w:color="000000"/>
              <w:left w:val="nil"/>
              <w:bottom w:val="nil"/>
              <w:right w:val="single" w:sz="4" w:space="0" w:color="000000"/>
            </w:tcBorders>
            <w:shd w:val="clear" w:color="99CCFF" w:fill="EEECE1" w:themeFill="background2"/>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92</w:t>
            </w:r>
          </w:p>
        </w:tc>
        <w:tc>
          <w:tcPr>
            <w:tcW w:w="867" w:type="dxa"/>
            <w:tcBorders>
              <w:top w:val="single" w:sz="4" w:space="0" w:color="000000"/>
              <w:left w:val="single" w:sz="4" w:space="0" w:color="000000"/>
              <w:bottom w:val="nil"/>
              <w:right w:val="nil"/>
            </w:tcBorders>
            <w:shd w:val="clear" w:color="CCFFCC" w:fill="EAF1DD" w:themeFill="accent3" w:themeFillTint="33"/>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92</w:t>
            </w:r>
          </w:p>
        </w:tc>
        <w:tc>
          <w:tcPr>
            <w:tcW w:w="867" w:type="dxa"/>
            <w:tcBorders>
              <w:top w:val="single" w:sz="4" w:space="0" w:color="000000"/>
              <w:left w:val="nil"/>
              <w:bottom w:val="nil"/>
              <w:right w:val="nil"/>
            </w:tcBorders>
            <w:shd w:val="clear" w:color="CCFFCC" w:fill="EAF1DD" w:themeFill="accent3" w:themeFillTint="33"/>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93</w:t>
            </w:r>
          </w:p>
        </w:tc>
        <w:tc>
          <w:tcPr>
            <w:tcW w:w="867" w:type="dxa"/>
            <w:tcBorders>
              <w:top w:val="single" w:sz="4" w:space="0" w:color="000000"/>
              <w:left w:val="nil"/>
              <w:bottom w:val="nil"/>
              <w:right w:val="single" w:sz="4" w:space="0" w:color="000000"/>
            </w:tcBorders>
            <w:shd w:val="clear" w:color="CCFFCC" w:fill="EAF1DD" w:themeFill="accent3" w:themeFillTint="33"/>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92</w:t>
            </w:r>
          </w:p>
        </w:tc>
        <w:tc>
          <w:tcPr>
            <w:tcW w:w="867" w:type="dxa"/>
            <w:tcBorders>
              <w:top w:val="single" w:sz="4" w:space="0" w:color="000000"/>
              <w:left w:val="single" w:sz="4" w:space="0" w:color="000000"/>
              <w:bottom w:val="nil"/>
              <w:right w:val="nil"/>
            </w:tcBorders>
            <w:shd w:val="clear" w:color="DFBFF9" w:fill="E5DFEC" w:themeFill="accent4" w:themeFillTint="33"/>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82</w:t>
            </w:r>
          </w:p>
        </w:tc>
        <w:tc>
          <w:tcPr>
            <w:tcW w:w="867" w:type="dxa"/>
            <w:tcBorders>
              <w:top w:val="single" w:sz="4" w:space="0" w:color="000000"/>
              <w:left w:val="nil"/>
              <w:bottom w:val="nil"/>
              <w:right w:val="nil"/>
            </w:tcBorders>
            <w:shd w:val="clear" w:color="DFBFF9" w:fill="E5DFEC" w:themeFill="accent4" w:themeFillTint="33"/>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85</w:t>
            </w:r>
          </w:p>
        </w:tc>
        <w:tc>
          <w:tcPr>
            <w:tcW w:w="867" w:type="dxa"/>
            <w:tcBorders>
              <w:top w:val="single" w:sz="4" w:space="0" w:color="000000"/>
              <w:left w:val="nil"/>
              <w:bottom w:val="nil"/>
              <w:right w:val="single" w:sz="4" w:space="0" w:color="000000"/>
            </w:tcBorders>
            <w:shd w:val="clear" w:color="DFBFF9" w:fill="E5DFEC" w:themeFill="accent4" w:themeFillTint="33"/>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85</w:t>
            </w:r>
          </w:p>
        </w:tc>
      </w:tr>
      <w:tr w:rsidR="008074FC" w:rsidRPr="000F4604" w:rsidTr="005E3739">
        <w:trPr>
          <w:trHeight w:val="300"/>
        </w:trPr>
        <w:tc>
          <w:tcPr>
            <w:tcW w:w="817" w:type="dxa"/>
            <w:tcBorders>
              <w:top w:val="nil"/>
              <w:left w:val="single" w:sz="4" w:space="0" w:color="000000"/>
              <w:bottom w:val="nil"/>
              <w:right w:val="single" w:sz="4" w:space="0" w:color="000000"/>
            </w:tcBorders>
            <w:shd w:val="clear" w:color="FFFFFF" w:fill="FFFFFF"/>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M</w:t>
            </w:r>
          </w:p>
        </w:tc>
        <w:tc>
          <w:tcPr>
            <w:tcW w:w="740" w:type="dxa"/>
            <w:tcBorders>
              <w:top w:val="nil"/>
              <w:left w:val="single" w:sz="4" w:space="0" w:color="000000"/>
              <w:bottom w:val="nil"/>
              <w:right w:val="nil"/>
            </w:tcBorders>
            <w:shd w:val="clear" w:color="99CCFF" w:fill="EEECE1" w:themeFill="background2"/>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91</w:t>
            </w:r>
          </w:p>
        </w:tc>
        <w:tc>
          <w:tcPr>
            <w:tcW w:w="753" w:type="dxa"/>
            <w:tcBorders>
              <w:top w:val="nil"/>
              <w:left w:val="nil"/>
              <w:bottom w:val="nil"/>
              <w:right w:val="nil"/>
            </w:tcBorders>
            <w:shd w:val="clear" w:color="99CCFF" w:fill="EEECE1" w:themeFill="background2"/>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91</w:t>
            </w:r>
          </w:p>
        </w:tc>
        <w:tc>
          <w:tcPr>
            <w:tcW w:w="867" w:type="dxa"/>
            <w:tcBorders>
              <w:top w:val="nil"/>
              <w:left w:val="nil"/>
              <w:bottom w:val="nil"/>
              <w:right w:val="single" w:sz="4" w:space="0" w:color="000000"/>
            </w:tcBorders>
            <w:shd w:val="clear" w:color="99CCFF" w:fill="EEECE1" w:themeFill="background2"/>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90</w:t>
            </w:r>
          </w:p>
        </w:tc>
        <w:tc>
          <w:tcPr>
            <w:tcW w:w="867" w:type="dxa"/>
            <w:tcBorders>
              <w:top w:val="nil"/>
              <w:left w:val="single" w:sz="4" w:space="0" w:color="000000"/>
              <w:bottom w:val="nil"/>
              <w:right w:val="nil"/>
            </w:tcBorders>
            <w:shd w:val="clear" w:color="CCFFCC" w:fill="EAF1DD" w:themeFill="accent3" w:themeFillTint="33"/>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89</w:t>
            </w:r>
          </w:p>
        </w:tc>
        <w:tc>
          <w:tcPr>
            <w:tcW w:w="867" w:type="dxa"/>
            <w:tcBorders>
              <w:top w:val="nil"/>
              <w:left w:val="nil"/>
              <w:bottom w:val="nil"/>
              <w:right w:val="nil"/>
            </w:tcBorders>
            <w:shd w:val="clear" w:color="CCFFCC" w:fill="EAF1DD" w:themeFill="accent3" w:themeFillTint="33"/>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90</w:t>
            </w:r>
          </w:p>
        </w:tc>
        <w:tc>
          <w:tcPr>
            <w:tcW w:w="867" w:type="dxa"/>
            <w:tcBorders>
              <w:top w:val="nil"/>
              <w:left w:val="nil"/>
              <w:bottom w:val="nil"/>
              <w:right w:val="single" w:sz="4" w:space="0" w:color="000000"/>
            </w:tcBorders>
            <w:shd w:val="clear" w:color="CCFFCC" w:fill="EAF1DD" w:themeFill="accent3" w:themeFillTint="33"/>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93</w:t>
            </w:r>
          </w:p>
        </w:tc>
        <w:tc>
          <w:tcPr>
            <w:tcW w:w="867" w:type="dxa"/>
            <w:tcBorders>
              <w:top w:val="nil"/>
              <w:left w:val="single" w:sz="4" w:space="0" w:color="000000"/>
              <w:bottom w:val="nil"/>
              <w:right w:val="nil"/>
            </w:tcBorders>
            <w:shd w:val="clear" w:color="DFBFF9" w:fill="E5DFEC" w:themeFill="accent4" w:themeFillTint="33"/>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81</w:t>
            </w:r>
          </w:p>
        </w:tc>
        <w:tc>
          <w:tcPr>
            <w:tcW w:w="867" w:type="dxa"/>
            <w:tcBorders>
              <w:top w:val="nil"/>
              <w:left w:val="nil"/>
              <w:bottom w:val="nil"/>
              <w:right w:val="nil"/>
            </w:tcBorders>
            <w:shd w:val="clear" w:color="DFBFF9" w:fill="E5DFEC" w:themeFill="accent4" w:themeFillTint="33"/>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81</w:t>
            </w:r>
          </w:p>
        </w:tc>
        <w:tc>
          <w:tcPr>
            <w:tcW w:w="867" w:type="dxa"/>
            <w:tcBorders>
              <w:top w:val="nil"/>
              <w:left w:val="nil"/>
              <w:bottom w:val="nil"/>
              <w:right w:val="single" w:sz="4" w:space="0" w:color="000000"/>
            </w:tcBorders>
            <w:shd w:val="clear" w:color="DFBFF9" w:fill="E5DFEC" w:themeFill="accent4" w:themeFillTint="33"/>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83</w:t>
            </w:r>
          </w:p>
        </w:tc>
      </w:tr>
      <w:tr w:rsidR="008074FC" w:rsidRPr="000F4604" w:rsidTr="005E3739">
        <w:trPr>
          <w:trHeight w:val="300"/>
        </w:trPr>
        <w:tc>
          <w:tcPr>
            <w:tcW w:w="817"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8074FC" w:rsidRPr="000F4604" w:rsidRDefault="008074FC" w:rsidP="00681CD4">
            <w:pPr>
              <w:spacing w:after="0" w:line="240" w:lineRule="auto"/>
              <w:jc w:val="center"/>
              <w:rPr>
                <w:rFonts w:eastAsia="Times New Roman" w:cs="Arial"/>
                <w:color w:val="000000"/>
                <w:lang w:eastAsia="en-GB"/>
              </w:rPr>
            </w:pPr>
          </w:p>
        </w:tc>
        <w:tc>
          <w:tcPr>
            <w:tcW w:w="740" w:type="dxa"/>
            <w:tcBorders>
              <w:top w:val="single" w:sz="4" w:space="0" w:color="000000"/>
              <w:left w:val="single" w:sz="4" w:space="0" w:color="000000"/>
              <w:bottom w:val="single" w:sz="4" w:space="0" w:color="000000"/>
              <w:right w:val="nil"/>
            </w:tcBorders>
            <w:shd w:val="clear" w:color="99CCFF" w:fill="EEECE1" w:themeFill="background2"/>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90</w:t>
            </w:r>
          </w:p>
        </w:tc>
        <w:tc>
          <w:tcPr>
            <w:tcW w:w="753" w:type="dxa"/>
            <w:tcBorders>
              <w:top w:val="single" w:sz="4" w:space="0" w:color="000000"/>
              <w:left w:val="nil"/>
              <w:bottom w:val="single" w:sz="4" w:space="0" w:color="000000"/>
              <w:right w:val="nil"/>
            </w:tcBorders>
            <w:shd w:val="clear" w:color="99CCFF" w:fill="EEECE1" w:themeFill="background2"/>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91</w:t>
            </w:r>
          </w:p>
        </w:tc>
        <w:tc>
          <w:tcPr>
            <w:tcW w:w="867" w:type="dxa"/>
            <w:tcBorders>
              <w:top w:val="single" w:sz="4" w:space="0" w:color="000000"/>
              <w:left w:val="nil"/>
              <w:bottom w:val="single" w:sz="4" w:space="0" w:color="000000"/>
              <w:right w:val="single" w:sz="4" w:space="0" w:color="000000"/>
            </w:tcBorders>
            <w:shd w:val="clear" w:color="99CCFF" w:fill="EEECE1" w:themeFill="background2"/>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91</w:t>
            </w:r>
          </w:p>
        </w:tc>
        <w:tc>
          <w:tcPr>
            <w:tcW w:w="867" w:type="dxa"/>
            <w:tcBorders>
              <w:top w:val="single" w:sz="4" w:space="0" w:color="000000"/>
              <w:left w:val="single" w:sz="4" w:space="0" w:color="000000"/>
              <w:bottom w:val="single" w:sz="4" w:space="0" w:color="000000"/>
              <w:right w:val="nil"/>
            </w:tcBorders>
            <w:shd w:val="clear" w:color="CCFFCC" w:fill="EAF1DD" w:themeFill="accent3" w:themeFillTint="33"/>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91</w:t>
            </w:r>
          </w:p>
        </w:tc>
        <w:tc>
          <w:tcPr>
            <w:tcW w:w="867" w:type="dxa"/>
            <w:tcBorders>
              <w:top w:val="single" w:sz="4" w:space="0" w:color="000000"/>
              <w:left w:val="nil"/>
              <w:bottom w:val="single" w:sz="4" w:space="0" w:color="000000"/>
              <w:right w:val="nil"/>
            </w:tcBorders>
            <w:shd w:val="clear" w:color="CCFFCC" w:fill="EAF1DD" w:themeFill="accent3" w:themeFillTint="33"/>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92</w:t>
            </w:r>
          </w:p>
        </w:tc>
        <w:tc>
          <w:tcPr>
            <w:tcW w:w="867" w:type="dxa"/>
            <w:tcBorders>
              <w:top w:val="single" w:sz="4" w:space="0" w:color="000000"/>
              <w:left w:val="nil"/>
              <w:bottom w:val="single" w:sz="4" w:space="0" w:color="000000"/>
              <w:right w:val="single" w:sz="4" w:space="0" w:color="000000"/>
            </w:tcBorders>
            <w:shd w:val="clear" w:color="CCFFCC" w:fill="EAF1DD" w:themeFill="accent3" w:themeFillTint="33"/>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93</w:t>
            </w:r>
          </w:p>
        </w:tc>
        <w:tc>
          <w:tcPr>
            <w:tcW w:w="867" w:type="dxa"/>
            <w:tcBorders>
              <w:top w:val="single" w:sz="4" w:space="0" w:color="000000"/>
              <w:left w:val="single" w:sz="4" w:space="0" w:color="000000"/>
              <w:bottom w:val="single" w:sz="4" w:space="0" w:color="000000"/>
              <w:right w:val="nil"/>
            </w:tcBorders>
            <w:shd w:val="clear" w:color="DFBFF9" w:fill="E5DFEC" w:themeFill="accent4" w:themeFillTint="33"/>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82</w:t>
            </w:r>
          </w:p>
        </w:tc>
        <w:tc>
          <w:tcPr>
            <w:tcW w:w="867" w:type="dxa"/>
            <w:tcBorders>
              <w:top w:val="single" w:sz="4" w:space="0" w:color="000000"/>
              <w:left w:val="nil"/>
              <w:bottom w:val="single" w:sz="4" w:space="0" w:color="000000"/>
              <w:right w:val="nil"/>
            </w:tcBorders>
            <w:shd w:val="clear" w:color="DFBFF9" w:fill="E5DFEC" w:themeFill="accent4" w:themeFillTint="33"/>
            <w:vAlign w:val="center"/>
            <w:hideMark/>
          </w:tcPr>
          <w:p w:rsidR="008074FC" w:rsidRPr="000F4604" w:rsidRDefault="008074FC" w:rsidP="00681CD4">
            <w:pPr>
              <w:spacing w:after="0" w:line="240" w:lineRule="auto"/>
              <w:jc w:val="center"/>
              <w:rPr>
                <w:rFonts w:eastAsia="Times New Roman" w:cs="Arial"/>
                <w:color w:val="000000"/>
                <w:lang w:eastAsia="en-GB"/>
              </w:rPr>
            </w:pPr>
            <w:r w:rsidRPr="000F4604">
              <w:rPr>
                <w:rFonts w:eastAsia="Times New Roman" w:cs="Arial"/>
                <w:color w:val="000000"/>
                <w:lang w:eastAsia="en-GB"/>
              </w:rPr>
              <w:t>83</w:t>
            </w:r>
          </w:p>
        </w:tc>
        <w:tc>
          <w:tcPr>
            <w:tcW w:w="867" w:type="dxa"/>
            <w:tcBorders>
              <w:top w:val="single" w:sz="4" w:space="0" w:color="000000"/>
              <w:left w:val="nil"/>
              <w:bottom w:val="single" w:sz="4" w:space="0" w:color="000000"/>
              <w:right w:val="single" w:sz="4" w:space="0" w:color="000000"/>
            </w:tcBorders>
            <w:shd w:val="clear" w:color="DFBFF9" w:fill="E5DFEC" w:themeFill="accent4" w:themeFillTint="33"/>
            <w:vAlign w:val="center"/>
            <w:hideMark/>
          </w:tcPr>
          <w:p w:rsidR="008074FC" w:rsidRPr="000F4604" w:rsidRDefault="008074FC" w:rsidP="00681CD4">
            <w:pPr>
              <w:spacing w:after="0" w:line="240" w:lineRule="auto"/>
              <w:jc w:val="center"/>
              <w:rPr>
                <w:rFonts w:eastAsia="Times New Roman" w:cs="Arial"/>
                <w:b/>
                <w:bCs/>
                <w:color w:val="000000"/>
                <w:lang w:eastAsia="en-GB"/>
              </w:rPr>
            </w:pPr>
            <w:r w:rsidRPr="000F4604">
              <w:rPr>
                <w:rFonts w:eastAsia="Times New Roman" w:cs="Arial"/>
                <w:b/>
                <w:bCs/>
                <w:color w:val="000000"/>
                <w:lang w:eastAsia="en-GB"/>
              </w:rPr>
              <w:t>84</w:t>
            </w:r>
          </w:p>
        </w:tc>
      </w:tr>
    </w:tbl>
    <w:p w:rsidR="008074FC" w:rsidRPr="000F4604" w:rsidRDefault="008074FC" w:rsidP="00681CD4">
      <w:pPr>
        <w:spacing w:after="0" w:line="240" w:lineRule="auto"/>
        <w:jc w:val="both"/>
        <w:rPr>
          <w:rFonts w:cs="Arial"/>
          <w:u w:val="single"/>
        </w:rPr>
      </w:pPr>
    </w:p>
    <w:p w:rsidR="008074FC" w:rsidRPr="000F4604" w:rsidRDefault="008074FC" w:rsidP="00681CD4">
      <w:pPr>
        <w:spacing w:after="0" w:line="240" w:lineRule="auto"/>
        <w:rPr>
          <w:rFonts w:cs="Arial"/>
        </w:rPr>
      </w:pPr>
      <w:r w:rsidRPr="000F4604">
        <w:rPr>
          <w:rFonts w:cs="Arial"/>
        </w:rPr>
        <w:lastRenderedPageBreak/>
        <w:t>54% of LR leavers in 2014-2015 were female and 46% were male. This largely reflects the gender split in the county with 51% female and 49% of the population of Nottinghamshire males. The gender split has narrowed since 13-14 (56% female).</w:t>
      </w:r>
    </w:p>
    <w:p w:rsidR="008074FC" w:rsidRPr="000F4604" w:rsidRDefault="008074FC" w:rsidP="00681CD4">
      <w:pPr>
        <w:spacing w:after="0" w:line="240" w:lineRule="auto"/>
        <w:rPr>
          <w:rFonts w:cs="Arial"/>
        </w:rPr>
      </w:pPr>
    </w:p>
    <w:p w:rsidR="008074FC" w:rsidRPr="000F4604" w:rsidRDefault="008074FC" w:rsidP="00681CD4">
      <w:pPr>
        <w:spacing w:after="0" w:line="240" w:lineRule="auto"/>
        <w:rPr>
          <w:rFonts w:cs="Arial"/>
        </w:rPr>
      </w:pPr>
      <w:r w:rsidRPr="000F4604">
        <w:rPr>
          <w:rFonts w:cs="Arial"/>
        </w:rPr>
        <w:t>There is a small differential between genders with student success, retention and achievement, with females slightly ahead, 2% (1.6%)</w:t>
      </w:r>
      <w:r w:rsidR="00832D7F">
        <w:rPr>
          <w:rFonts w:cs="Arial"/>
        </w:rPr>
        <w:t>,</w:t>
      </w:r>
      <w:r w:rsidRPr="000F4604">
        <w:rPr>
          <w:rFonts w:cs="Arial"/>
        </w:rPr>
        <w:t xml:space="preserve"> of males in overall success. </w:t>
      </w:r>
    </w:p>
    <w:p w:rsidR="008074FC" w:rsidRPr="000F4604" w:rsidRDefault="008074FC" w:rsidP="00681CD4">
      <w:pPr>
        <w:spacing w:after="0" w:line="240" w:lineRule="auto"/>
        <w:rPr>
          <w:rFonts w:cs="Arial"/>
        </w:rPr>
      </w:pPr>
      <w:r w:rsidRPr="000F4604">
        <w:rPr>
          <w:rFonts w:cs="Arial"/>
        </w:rPr>
        <w:t>Differentials occur however between age groups with 16-18 year old female success rates falling 10% below the overall college average, and 7% below males. 19+ females achieve 4% above college SSR.</w:t>
      </w:r>
    </w:p>
    <w:p w:rsidR="008074FC" w:rsidRPr="000F4604" w:rsidRDefault="008074FC" w:rsidP="00681CD4">
      <w:pPr>
        <w:spacing w:after="0" w:line="240" w:lineRule="auto"/>
        <w:rPr>
          <w:rFonts w:cs="Arial"/>
        </w:rPr>
      </w:pPr>
    </w:p>
    <w:p w:rsidR="00512DD2" w:rsidRPr="000F4604" w:rsidRDefault="008074FC" w:rsidP="00681CD4">
      <w:pPr>
        <w:spacing w:after="0" w:line="240" w:lineRule="auto"/>
        <w:jc w:val="both"/>
        <w:rPr>
          <w:rFonts w:cs="Arial"/>
        </w:rPr>
      </w:pPr>
      <w:r w:rsidRPr="000F4604">
        <w:rPr>
          <w:rFonts w:cs="Arial"/>
        </w:rPr>
        <w:t>Positively the gaps in achievement and overall success between both genders have narrowed.</w:t>
      </w:r>
    </w:p>
    <w:p w:rsidR="00512DD2" w:rsidRPr="000F4604" w:rsidRDefault="00512DD2" w:rsidP="00681CD4">
      <w:pPr>
        <w:spacing w:after="0" w:line="240" w:lineRule="auto"/>
        <w:jc w:val="both"/>
        <w:rPr>
          <w:rFonts w:cs="Arial"/>
          <w:u w:val="single"/>
        </w:rPr>
      </w:pPr>
    </w:p>
    <w:p w:rsidR="007456A3" w:rsidRPr="000F4604" w:rsidRDefault="00692E69" w:rsidP="00681CD4">
      <w:pPr>
        <w:spacing w:after="0" w:line="240" w:lineRule="auto"/>
        <w:jc w:val="both"/>
        <w:rPr>
          <w:rFonts w:cs="Arial"/>
          <w:u w:val="single"/>
        </w:rPr>
      </w:pPr>
      <w:r w:rsidRPr="000F4604">
        <w:rPr>
          <w:rFonts w:cs="Arial"/>
          <w:u w:val="single"/>
        </w:rPr>
        <w:t>Disability P</w:t>
      </w:r>
      <w:r w:rsidR="007456A3" w:rsidRPr="000F4604">
        <w:rPr>
          <w:rFonts w:cs="Arial"/>
          <w:u w:val="single"/>
        </w:rPr>
        <w:t>rofile</w:t>
      </w:r>
    </w:p>
    <w:p w:rsidR="00D607D0" w:rsidRDefault="00D607D0" w:rsidP="00681CD4">
      <w:pPr>
        <w:spacing w:after="0" w:line="240" w:lineRule="auto"/>
        <w:rPr>
          <w:rFonts w:cs="Arial"/>
        </w:rPr>
      </w:pPr>
      <w:r w:rsidRPr="000F4604">
        <w:rPr>
          <w:rFonts w:cs="Arial"/>
        </w:rPr>
        <w:t>There has been a +6% increase in learners disclosing a disability, difficulty or health condition since 13/14.</w:t>
      </w:r>
    </w:p>
    <w:p w:rsidR="00E57CD7" w:rsidRPr="000F4604" w:rsidRDefault="00E57CD7" w:rsidP="00681CD4">
      <w:pPr>
        <w:spacing w:after="0" w:line="240" w:lineRule="auto"/>
        <w:rPr>
          <w:rFonts w:cs="Arial"/>
        </w:rPr>
      </w:pPr>
    </w:p>
    <w:p w:rsidR="00D607D0" w:rsidRPr="000F4604" w:rsidRDefault="00D607D0" w:rsidP="00681CD4">
      <w:pPr>
        <w:spacing w:after="0" w:line="240" w:lineRule="auto"/>
        <w:rPr>
          <w:rFonts w:cs="Arial"/>
        </w:rPr>
      </w:pPr>
      <w:r w:rsidRPr="000F4604">
        <w:rPr>
          <w:rFonts w:cs="Arial"/>
        </w:rPr>
        <w:t xml:space="preserve">Success rates for learners who declare a disability, difficulty or health </w:t>
      </w:r>
      <w:r w:rsidR="00C94EC0" w:rsidRPr="000F4604">
        <w:rPr>
          <w:rFonts w:cs="Arial"/>
        </w:rPr>
        <w:t xml:space="preserve">condition </w:t>
      </w:r>
      <w:r w:rsidRPr="000F4604">
        <w:rPr>
          <w:rFonts w:cs="Arial"/>
        </w:rPr>
        <w:t xml:space="preserve">are 3.5% higher than the college average and 5.2% higher than national rate. </w:t>
      </w:r>
    </w:p>
    <w:p w:rsidR="00E57CD7" w:rsidRDefault="00E57CD7" w:rsidP="00681CD4">
      <w:pPr>
        <w:spacing w:after="0" w:line="240" w:lineRule="auto"/>
        <w:rPr>
          <w:rFonts w:cs="Arial"/>
        </w:rPr>
      </w:pPr>
    </w:p>
    <w:p w:rsidR="00D607D0" w:rsidRPr="000F4604" w:rsidRDefault="00D607D0" w:rsidP="00681CD4">
      <w:pPr>
        <w:spacing w:after="0" w:line="240" w:lineRule="auto"/>
        <w:rPr>
          <w:rFonts w:cs="Arial"/>
        </w:rPr>
      </w:pPr>
      <w:r w:rsidRPr="000F4604">
        <w:rPr>
          <w:rFonts w:cs="Arial"/>
        </w:rPr>
        <w:t>There has been a year on year improvement in success rates for learners who declare a disability, difficulty or health problem across all qualification types. Success rates where “no information has been provided” has improved significantly since 13/14</w:t>
      </w:r>
      <w:r w:rsidR="00C94EC0" w:rsidRPr="000F4604">
        <w:rPr>
          <w:rFonts w:cs="Arial"/>
        </w:rPr>
        <w:t>.</w:t>
      </w:r>
    </w:p>
    <w:p w:rsidR="00E57CD7" w:rsidRDefault="00E57CD7" w:rsidP="00681CD4">
      <w:pPr>
        <w:spacing w:after="0" w:line="240" w:lineRule="auto"/>
        <w:rPr>
          <w:rFonts w:cs="Arial"/>
        </w:rPr>
      </w:pPr>
    </w:p>
    <w:p w:rsidR="00D607D0" w:rsidRPr="000F4604" w:rsidRDefault="00D607D0" w:rsidP="00681CD4">
      <w:pPr>
        <w:spacing w:after="0" w:line="240" w:lineRule="auto"/>
        <w:rPr>
          <w:rFonts w:cs="Arial"/>
        </w:rPr>
      </w:pPr>
      <w:r w:rsidRPr="000F4604">
        <w:rPr>
          <w:rFonts w:cs="Arial"/>
        </w:rPr>
        <w:t>There has been an increase in learners disclosing a mental health condition which is now recorded at 6.5% of enrolments. These learners have seen a significant improvement in success rates from 13/14 and against college and national rate.</w:t>
      </w:r>
    </w:p>
    <w:p w:rsidR="00D607D0" w:rsidRPr="000F4604" w:rsidRDefault="00D607D0" w:rsidP="00681CD4">
      <w:pPr>
        <w:spacing w:after="0" w:line="240" w:lineRule="auto"/>
        <w:rPr>
          <w:rFonts w:cs="Arial"/>
        </w:rPr>
      </w:pPr>
      <w:r w:rsidRPr="000F4604">
        <w:rPr>
          <w:rFonts w:cs="Arial"/>
        </w:rPr>
        <w:t>The percentage of learners disclosing a disability is disproportionate for those on ESOL qualifications (5.5% compared to 28% college average) and this is noted as an area to be investigated in 2016 with the curriculum area to take steps to improve the disclosure of disabilities for their students.</w:t>
      </w:r>
    </w:p>
    <w:p w:rsidR="00D607D0" w:rsidRPr="000F4604" w:rsidRDefault="00D607D0" w:rsidP="00681CD4">
      <w:pPr>
        <w:spacing w:after="0" w:line="240" w:lineRule="auto"/>
        <w:rPr>
          <w:rFonts w:cs="Arial"/>
        </w:rPr>
      </w:pPr>
    </w:p>
    <w:p w:rsidR="005D4483" w:rsidRPr="000F4604" w:rsidRDefault="00692E69" w:rsidP="00681CD4">
      <w:pPr>
        <w:spacing w:after="0" w:line="240" w:lineRule="auto"/>
        <w:jc w:val="both"/>
        <w:rPr>
          <w:rFonts w:eastAsia="SimSun" w:cs="Arial"/>
          <w:u w:val="single"/>
          <w:lang w:eastAsia="zh-CN"/>
        </w:rPr>
      </w:pPr>
      <w:r w:rsidRPr="000F4604">
        <w:rPr>
          <w:rFonts w:eastAsia="SimSun" w:cs="Arial"/>
          <w:u w:val="single"/>
          <w:lang w:eastAsia="zh-CN"/>
        </w:rPr>
        <w:t>Ethnicity P</w:t>
      </w:r>
      <w:r w:rsidR="00CC729F" w:rsidRPr="000F4604">
        <w:rPr>
          <w:rFonts w:eastAsia="SimSun" w:cs="Arial"/>
          <w:u w:val="single"/>
          <w:lang w:eastAsia="zh-CN"/>
        </w:rPr>
        <w:t>rofile</w:t>
      </w:r>
    </w:p>
    <w:p w:rsidR="009A74C7" w:rsidRPr="000F4604" w:rsidRDefault="009A74C7" w:rsidP="00681CD4">
      <w:pPr>
        <w:spacing w:after="0" w:line="240" w:lineRule="auto"/>
        <w:jc w:val="both"/>
        <w:rPr>
          <w:rFonts w:cs="Arial"/>
        </w:rPr>
      </w:pPr>
      <w:r w:rsidRPr="000F4604">
        <w:rPr>
          <w:rFonts w:cs="Arial"/>
        </w:rPr>
        <w:t>The ethnic diversity within the overall learner population has seen significant changes in terms of representation and success rates for a number of groups.  In 2015 61% of learners are White British with 27% of learners from BAME groups, 11% Other White and 1% Not Provided.</w:t>
      </w:r>
    </w:p>
    <w:p w:rsidR="00313E40" w:rsidRDefault="007A6CA9" w:rsidP="00681CD4">
      <w:pPr>
        <w:spacing w:after="0" w:line="240" w:lineRule="auto"/>
        <w:jc w:val="both"/>
        <w:rPr>
          <w:rFonts w:cs="Arial"/>
        </w:rPr>
      </w:pPr>
      <w:r w:rsidRPr="000F4604">
        <w:rPr>
          <w:rFonts w:cs="Arial"/>
        </w:rPr>
        <w:t>T</w:t>
      </w:r>
      <w:r w:rsidR="00F7488D" w:rsidRPr="000F4604">
        <w:rPr>
          <w:rFonts w:cs="Arial"/>
        </w:rPr>
        <w:t xml:space="preserve">he table below shows the </w:t>
      </w:r>
      <w:r w:rsidR="00313E40" w:rsidRPr="000F4604">
        <w:rPr>
          <w:rFonts w:cs="Arial"/>
        </w:rPr>
        <w:t>profile</w:t>
      </w:r>
      <w:r w:rsidR="00CA3D1A" w:rsidRPr="000F4604">
        <w:rPr>
          <w:rFonts w:cs="Arial"/>
        </w:rPr>
        <w:t xml:space="preserve"> for the main </w:t>
      </w:r>
      <w:r w:rsidRPr="000F4604">
        <w:rPr>
          <w:rFonts w:cs="Arial"/>
        </w:rPr>
        <w:t>Black, Asian and Minority Ethnic (BAME)</w:t>
      </w:r>
      <w:r w:rsidR="00CA3D1A" w:rsidRPr="000F4604">
        <w:rPr>
          <w:rFonts w:cs="Arial"/>
        </w:rPr>
        <w:t xml:space="preserve"> groups</w:t>
      </w:r>
      <w:r w:rsidR="00F8242B" w:rsidRPr="000F4604">
        <w:rPr>
          <w:rFonts w:cs="Arial"/>
        </w:rPr>
        <w:t>.</w:t>
      </w:r>
    </w:p>
    <w:p w:rsidR="00F8242B" w:rsidRPr="000F4604" w:rsidRDefault="00F8242B" w:rsidP="00681CD4">
      <w:pPr>
        <w:spacing w:after="0" w:line="240" w:lineRule="auto"/>
        <w:ind w:left="720"/>
        <w:jc w:val="both"/>
        <w:rPr>
          <w:rFonts w:cs="Arial"/>
        </w:rPr>
      </w:pPr>
    </w:p>
    <w:tbl>
      <w:tblPr>
        <w:tblStyle w:val="TableGrid"/>
        <w:tblW w:w="0" w:type="auto"/>
        <w:tblInd w:w="392" w:type="dxa"/>
        <w:tblLayout w:type="fixed"/>
        <w:tblLook w:val="04A0" w:firstRow="1" w:lastRow="0" w:firstColumn="1" w:lastColumn="0" w:noHBand="0" w:noVBand="1"/>
      </w:tblPr>
      <w:tblGrid>
        <w:gridCol w:w="1844"/>
        <w:gridCol w:w="698"/>
        <w:gridCol w:w="1436"/>
        <w:gridCol w:w="1445"/>
        <w:gridCol w:w="1545"/>
        <w:gridCol w:w="1537"/>
      </w:tblGrid>
      <w:tr w:rsidR="009A74C7" w:rsidRPr="000F4604" w:rsidTr="00DC4A48">
        <w:tc>
          <w:tcPr>
            <w:tcW w:w="1844" w:type="dxa"/>
            <w:tcBorders>
              <w:bottom w:val="single" w:sz="4" w:space="0" w:color="auto"/>
            </w:tcBorders>
          </w:tcPr>
          <w:p w:rsidR="009A74C7" w:rsidRPr="000F4604" w:rsidRDefault="009A74C7" w:rsidP="00681CD4">
            <w:pPr>
              <w:ind w:left="720"/>
              <w:jc w:val="both"/>
              <w:rPr>
                <w:rFonts w:ascii="Arial" w:hAnsi="Arial" w:cs="Arial"/>
                <w:b/>
              </w:rPr>
            </w:pPr>
          </w:p>
        </w:tc>
        <w:tc>
          <w:tcPr>
            <w:tcW w:w="6661" w:type="dxa"/>
            <w:gridSpan w:val="5"/>
            <w:tcBorders>
              <w:bottom w:val="single" w:sz="4" w:space="0" w:color="auto"/>
            </w:tcBorders>
          </w:tcPr>
          <w:p w:rsidR="009A74C7" w:rsidRPr="000F4604" w:rsidRDefault="009A74C7" w:rsidP="00681CD4">
            <w:pPr>
              <w:ind w:left="32"/>
              <w:rPr>
                <w:rFonts w:ascii="Arial" w:hAnsi="Arial" w:cs="Arial"/>
                <w:b/>
              </w:rPr>
            </w:pPr>
            <w:r w:rsidRPr="000F4604">
              <w:rPr>
                <w:rFonts w:ascii="Arial" w:hAnsi="Arial" w:cs="Arial"/>
                <w:b/>
              </w:rPr>
              <w:t>Ethnic Group Representation of Total Population by  %</w:t>
            </w:r>
          </w:p>
        </w:tc>
      </w:tr>
      <w:tr w:rsidR="009A74C7" w:rsidRPr="000F4604" w:rsidTr="00DC4A48">
        <w:trPr>
          <w:trHeight w:val="827"/>
        </w:trPr>
        <w:tc>
          <w:tcPr>
            <w:tcW w:w="2542" w:type="dxa"/>
            <w:gridSpan w:val="2"/>
            <w:shd w:val="clear" w:color="auto" w:fill="DBE5F1" w:themeFill="accent1" w:themeFillTint="33"/>
          </w:tcPr>
          <w:p w:rsidR="009A74C7" w:rsidRPr="000F4604" w:rsidRDefault="009A74C7" w:rsidP="00681CD4">
            <w:pPr>
              <w:jc w:val="both"/>
              <w:rPr>
                <w:rFonts w:ascii="Arial" w:hAnsi="Arial" w:cs="Arial"/>
              </w:rPr>
            </w:pPr>
            <w:r w:rsidRPr="000F4604">
              <w:rPr>
                <w:rFonts w:ascii="Arial" w:hAnsi="Arial" w:cs="Arial"/>
              </w:rPr>
              <w:t>Ethnic Group</w:t>
            </w:r>
          </w:p>
        </w:tc>
        <w:tc>
          <w:tcPr>
            <w:tcW w:w="1436" w:type="dxa"/>
            <w:shd w:val="clear" w:color="auto" w:fill="DBE5F1" w:themeFill="accent1" w:themeFillTint="33"/>
          </w:tcPr>
          <w:p w:rsidR="009A74C7" w:rsidRPr="000F4604" w:rsidRDefault="009A74C7" w:rsidP="00681CD4">
            <w:pPr>
              <w:jc w:val="both"/>
              <w:rPr>
                <w:rFonts w:ascii="Arial" w:hAnsi="Arial" w:cs="Arial"/>
              </w:rPr>
            </w:pPr>
            <w:r w:rsidRPr="000F4604">
              <w:rPr>
                <w:rFonts w:ascii="Arial" w:hAnsi="Arial" w:cs="Arial"/>
              </w:rPr>
              <w:t>College Learners</w:t>
            </w:r>
          </w:p>
          <w:p w:rsidR="009A74C7" w:rsidRPr="000F4604" w:rsidRDefault="009A74C7" w:rsidP="00681CD4">
            <w:pPr>
              <w:jc w:val="both"/>
              <w:rPr>
                <w:rFonts w:ascii="Arial" w:hAnsi="Arial" w:cs="Arial"/>
              </w:rPr>
            </w:pPr>
            <w:r w:rsidRPr="000F4604">
              <w:rPr>
                <w:rFonts w:ascii="Arial" w:hAnsi="Arial" w:cs="Arial"/>
              </w:rPr>
              <w:t>2012-2013</w:t>
            </w:r>
          </w:p>
        </w:tc>
        <w:tc>
          <w:tcPr>
            <w:tcW w:w="1445" w:type="dxa"/>
            <w:shd w:val="clear" w:color="auto" w:fill="DBE5F1" w:themeFill="accent1" w:themeFillTint="33"/>
          </w:tcPr>
          <w:p w:rsidR="009A74C7" w:rsidRPr="000F4604" w:rsidRDefault="009A74C7" w:rsidP="00681CD4">
            <w:pPr>
              <w:jc w:val="both"/>
              <w:rPr>
                <w:rFonts w:ascii="Arial" w:hAnsi="Arial" w:cs="Arial"/>
              </w:rPr>
            </w:pPr>
            <w:r w:rsidRPr="000F4604">
              <w:rPr>
                <w:rFonts w:ascii="Arial" w:hAnsi="Arial" w:cs="Arial"/>
              </w:rPr>
              <w:t>College Learners</w:t>
            </w:r>
          </w:p>
          <w:p w:rsidR="009A74C7" w:rsidRPr="000F4604" w:rsidRDefault="009A74C7" w:rsidP="00681CD4">
            <w:pPr>
              <w:jc w:val="both"/>
              <w:rPr>
                <w:rFonts w:ascii="Arial" w:hAnsi="Arial" w:cs="Arial"/>
              </w:rPr>
            </w:pPr>
            <w:r w:rsidRPr="000F4604">
              <w:rPr>
                <w:rFonts w:ascii="Arial" w:hAnsi="Arial" w:cs="Arial"/>
              </w:rPr>
              <w:t>2013-2014</w:t>
            </w:r>
          </w:p>
        </w:tc>
        <w:tc>
          <w:tcPr>
            <w:tcW w:w="1545" w:type="dxa"/>
            <w:shd w:val="clear" w:color="auto" w:fill="DBE5F1" w:themeFill="accent1" w:themeFillTint="33"/>
          </w:tcPr>
          <w:p w:rsidR="009A74C7" w:rsidRPr="000F4604" w:rsidRDefault="009A74C7" w:rsidP="00681CD4">
            <w:pPr>
              <w:jc w:val="both"/>
              <w:rPr>
                <w:rFonts w:ascii="Arial" w:hAnsi="Arial" w:cs="Arial"/>
              </w:rPr>
            </w:pPr>
            <w:r w:rsidRPr="000F4604">
              <w:rPr>
                <w:rFonts w:ascii="Arial" w:hAnsi="Arial" w:cs="Arial"/>
              </w:rPr>
              <w:t>College Learners 2014-2015</w:t>
            </w:r>
          </w:p>
        </w:tc>
        <w:tc>
          <w:tcPr>
            <w:tcW w:w="1537" w:type="dxa"/>
            <w:shd w:val="clear" w:color="auto" w:fill="DBE5F1" w:themeFill="accent1" w:themeFillTint="33"/>
          </w:tcPr>
          <w:p w:rsidR="009A74C7" w:rsidRPr="000F4604" w:rsidRDefault="009A74C7" w:rsidP="00681CD4">
            <w:pPr>
              <w:jc w:val="both"/>
              <w:rPr>
                <w:rFonts w:ascii="Arial" w:hAnsi="Arial" w:cs="Arial"/>
              </w:rPr>
            </w:pPr>
            <w:r w:rsidRPr="000F4604">
              <w:rPr>
                <w:rFonts w:ascii="Arial" w:hAnsi="Arial" w:cs="Arial"/>
              </w:rPr>
              <w:t>Census 2011</w:t>
            </w:r>
          </w:p>
          <w:p w:rsidR="009A74C7" w:rsidRPr="000F4604" w:rsidRDefault="009A74C7" w:rsidP="00681CD4">
            <w:pPr>
              <w:jc w:val="both"/>
              <w:rPr>
                <w:rFonts w:ascii="Arial" w:hAnsi="Arial" w:cs="Arial"/>
              </w:rPr>
            </w:pPr>
            <w:r w:rsidRPr="000F4604">
              <w:rPr>
                <w:rFonts w:ascii="Arial" w:hAnsi="Arial" w:cs="Arial"/>
              </w:rPr>
              <w:t>Nottingham Population</w:t>
            </w:r>
          </w:p>
        </w:tc>
      </w:tr>
      <w:tr w:rsidR="009A74C7" w:rsidRPr="000F4604" w:rsidTr="00DC4A48">
        <w:tc>
          <w:tcPr>
            <w:tcW w:w="2542" w:type="dxa"/>
            <w:gridSpan w:val="2"/>
          </w:tcPr>
          <w:p w:rsidR="009A74C7" w:rsidRPr="000F4604" w:rsidRDefault="009A74C7" w:rsidP="00681CD4">
            <w:pPr>
              <w:jc w:val="both"/>
              <w:rPr>
                <w:rFonts w:ascii="Arial" w:hAnsi="Arial" w:cs="Arial"/>
              </w:rPr>
            </w:pPr>
            <w:r w:rsidRPr="000F4604">
              <w:rPr>
                <w:rFonts w:ascii="Arial" w:hAnsi="Arial" w:cs="Arial"/>
              </w:rPr>
              <w:t>African</w:t>
            </w:r>
          </w:p>
        </w:tc>
        <w:tc>
          <w:tcPr>
            <w:tcW w:w="1436" w:type="dxa"/>
          </w:tcPr>
          <w:p w:rsidR="009A74C7" w:rsidRPr="000F4604" w:rsidRDefault="00715647" w:rsidP="00681CD4">
            <w:pPr>
              <w:jc w:val="both"/>
              <w:rPr>
                <w:rFonts w:ascii="Arial" w:hAnsi="Arial" w:cs="Arial"/>
              </w:rPr>
            </w:pPr>
            <w:r w:rsidRPr="000F4604">
              <w:rPr>
                <w:rFonts w:ascii="Arial" w:hAnsi="Arial" w:cs="Arial"/>
              </w:rPr>
              <w:t>4.2</w:t>
            </w:r>
            <w:r w:rsidR="009A74C7" w:rsidRPr="000F4604">
              <w:rPr>
                <w:rFonts w:ascii="Arial" w:hAnsi="Arial" w:cs="Arial"/>
              </w:rPr>
              <w:t>%</w:t>
            </w:r>
          </w:p>
        </w:tc>
        <w:tc>
          <w:tcPr>
            <w:tcW w:w="1445" w:type="dxa"/>
          </w:tcPr>
          <w:p w:rsidR="009A74C7" w:rsidRPr="000F4604" w:rsidRDefault="009A74C7" w:rsidP="00681CD4">
            <w:pPr>
              <w:jc w:val="both"/>
              <w:rPr>
                <w:rFonts w:ascii="Arial" w:hAnsi="Arial" w:cs="Arial"/>
              </w:rPr>
            </w:pPr>
            <w:r w:rsidRPr="000F4604">
              <w:rPr>
                <w:rFonts w:ascii="Arial" w:hAnsi="Arial" w:cs="Arial"/>
              </w:rPr>
              <w:t>4.</w:t>
            </w:r>
            <w:r w:rsidR="00715647" w:rsidRPr="000F4604">
              <w:rPr>
                <w:rFonts w:ascii="Arial" w:hAnsi="Arial" w:cs="Arial"/>
              </w:rPr>
              <w:t>7</w:t>
            </w:r>
            <w:r w:rsidRPr="000F4604">
              <w:rPr>
                <w:rFonts w:ascii="Arial" w:hAnsi="Arial" w:cs="Arial"/>
              </w:rPr>
              <w:t>%</w:t>
            </w:r>
          </w:p>
        </w:tc>
        <w:tc>
          <w:tcPr>
            <w:tcW w:w="1545" w:type="dxa"/>
          </w:tcPr>
          <w:p w:rsidR="001A24E7" w:rsidRPr="000F4604" w:rsidRDefault="00715647" w:rsidP="00681CD4">
            <w:pPr>
              <w:jc w:val="both"/>
              <w:rPr>
                <w:rFonts w:ascii="Arial" w:hAnsi="Arial" w:cs="Arial"/>
              </w:rPr>
            </w:pPr>
            <w:r w:rsidRPr="000F4604">
              <w:rPr>
                <w:rFonts w:ascii="Arial" w:hAnsi="Arial" w:cs="Arial"/>
              </w:rPr>
              <w:t>6.4%</w:t>
            </w:r>
          </w:p>
        </w:tc>
        <w:tc>
          <w:tcPr>
            <w:tcW w:w="1537" w:type="dxa"/>
          </w:tcPr>
          <w:p w:rsidR="009A74C7" w:rsidRPr="000F4604" w:rsidRDefault="009A74C7" w:rsidP="00681CD4">
            <w:pPr>
              <w:jc w:val="both"/>
              <w:rPr>
                <w:rFonts w:ascii="Arial" w:hAnsi="Arial" w:cs="Arial"/>
              </w:rPr>
            </w:pPr>
            <w:r w:rsidRPr="000F4604">
              <w:rPr>
                <w:rFonts w:ascii="Arial" w:hAnsi="Arial" w:cs="Arial"/>
              </w:rPr>
              <w:t>3.2%</w:t>
            </w:r>
          </w:p>
        </w:tc>
      </w:tr>
      <w:tr w:rsidR="009A74C7" w:rsidRPr="000F4604" w:rsidTr="00DC4A48">
        <w:tc>
          <w:tcPr>
            <w:tcW w:w="2542" w:type="dxa"/>
            <w:gridSpan w:val="2"/>
          </w:tcPr>
          <w:p w:rsidR="009A74C7" w:rsidRPr="000F4604" w:rsidRDefault="009A74C7" w:rsidP="00681CD4">
            <w:pPr>
              <w:jc w:val="both"/>
              <w:rPr>
                <w:rFonts w:ascii="Arial" w:hAnsi="Arial" w:cs="Arial"/>
              </w:rPr>
            </w:pPr>
            <w:r w:rsidRPr="000F4604">
              <w:rPr>
                <w:rFonts w:ascii="Arial" w:hAnsi="Arial" w:cs="Arial"/>
              </w:rPr>
              <w:t>Arab</w:t>
            </w:r>
          </w:p>
        </w:tc>
        <w:tc>
          <w:tcPr>
            <w:tcW w:w="1436" w:type="dxa"/>
          </w:tcPr>
          <w:p w:rsidR="009A74C7" w:rsidRPr="000F4604" w:rsidRDefault="009A74C7" w:rsidP="00681CD4">
            <w:pPr>
              <w:jc w:val="both"/>
              <w:rPr>
                <w:rFonts w:ascii="Arial" w:hAnsi="Arial" w:cs="Arial"/>
              </w:rPr>
            </w:pPr>
            <w:r w:rsidRPr="000F4604">
              <w:rPr>
                <w:rFonts w:ascii="Arial" w:hAnsi="Arial" w:cs="Arial"/>
              </w:rPr>
              <w:t>0.3%</w:t>
            </w:r>
          </w:p>
        </w:tc>
        <w:tc>
          <w:tcPr>
            <w:tcW w:w="1445" w:type="dxa"/>
          </w:tcPr>
          <w:p w:rsidR="009A74C7" w:rsidRPr="000F4604" w:rsidRDefault="009A74C7" w:rsidP="00681CD4">
            <w:pPr>
              <w:jc w:val="both"/>
              <w:rPr>
                <w:rFonts w:ascii="Arial" w:hAnsi="Arial" w:cs="Arial"/>
              </w:rPr>
            </w:pPr>
            <w:r w:rsidRPr="000F4604">
              <w:rPr>
                <w:rFonts w:ascii="Arial" w:hAnsi="Arial" w:cs="Arial"/>
              </w:rPr>
              <w:t>0.4%</w:t>
            </w:r>
          </w:p>
        </w:tc>
        <w:tc>
          <w:tcPr>
            <w:tcW w:w="1545" w:type="dxa"/>
          </w:tcPr>
          <w:p w:rsidR="009A74C7" w:rsidRPr="000F4604" w:rsidRDefault="00715647" w:rsidP="00681CD4">
            <w:pPr>
              <w:jc w:val="both"/>
              <w:rPr>
                <w:rFonts w:ascii="Arial" w:hAnsi="Arial" w:cs="Arial"/>
              </w:rPr>
            </w:pPr>
            <w:r w:rsidRPr="000F4604">
              <w:rPr>
                <w:rFonts w:ascii="Arial" w:hAnsi="Arial" w:cs="Arial"/>
              </w:rPr>
              <w:t>0.6%</w:t>
            </w:r>
          </w:p>
        </w:tc>
        <w:tc>
          <w:tcPr>
            <w:tcW w:w="1537" w:type="dxa"/>
          </w:tcPr>
          <w:p w:rsidR="009A74C7" w:rsidRPr="000F4604" w:rsidRDefault="009A74C7" w:rsidP="00681CD4">
            <w:pPr>
              <w:jc w:val="both"/>
              <w:rPr>
                <w:rFonts w:ascii="Arial" w:hAnsi="Arial" w:cs="Arial"/>
              </w:rPr>
            </w:pPr>
            <w:r w:rsidRPr="000F4604">
              <w:rPr>
                <w:rFonts w:ascii="Arial" w:hAnsi="Arial" w:cs="Arial"/>
              </w:rPr>
              <w:t>0.</w:t>
            </w:r>
            <w:r w:rsidR="00DC4A48" w:rsidRPr="000F4604">
              <w:rPr>
                <w:rFonts w:ascii="Arial" w:hAnsi="Arial" w:cs="Arial"/>
              </w:rPr>
              <w:t>8</w:t>
            </w:r>
            <w:r w:rsidRPr="000F4604">
              <w:rPr>
                <w:rFonts w:ascii="Arial" w:hAnsi="Arial" w:cs="Arial"/>
              </w:rPr>
              <w:t>%</w:t>
            </w:r>
          </w:p>
        </w:tc>
      </w:tr>
      <w:tr w:rsidR="009A74C7" w:rsidRPr="000F4604" w:rsidTr="00DC4A48">
        <w:tc>
          <w:tcPr>
            <w:tcW w:w="2542" w:type="dxa"/>
            <w:gridSpan w:val="2"/>
          </w:tcPr>
          <w:p w:rsidR="009A74C7" w:rsidRPr="000F4604" w:rsidRDefault="009A74C7" w:rsidP="00681CD4">
            <w:pPr>
              <w:jc w:val="both"/>
              <w:rPr>
                <w:rFonts w:ascii="Arial" w:hAnsi="Arial" w:cs="Arial"/>
              </w:rPr>
            </w:pPr>
            <w:r w:rsidRPr="000F4604">
              <w:rPr>
                <w:rFonts w:ascii="Arial" w:hAnsi="Arial" w:cs="Arial"/>
              </w:rPr>
              <w:t>Bangladeshi</w:t>
            </w:r>
          </w:p>
        </w:tc>
        <w:tc>
          <w:tcPr>
            <w:tcW w:w="1436" w:type="dxa"/>
          </w:tcPr>
          <w:p w:rsidR="009A74C7" w:rsidRPr="000F4604" w:rsidRDefault="009A74C7" w:rsidP="00681CD4">
            <w:pPr>
              <w:jc w:val="both"/>
              <w:rPr>
                <w:rFonts w:ascii="Arial" w:hAnsi="Arial" w:cs="Arial"/>
              </w:rPr>
            </w:pPr>
            <w:r w:rsidRPr="000F4604">
              <w:rPr>
                <w:rFonts w:ascii="Arial" w:hAnsi="Arial" w:cs="Arial"/>
              </w:rPr>
              <w:t>0.</w:t>
            </w:r>
            <w:r w:rsidR="00AC23C1" w:rsidRPr="000F4604">
              <w:rPr>
                <w:rFonts w:ascii="Arial" w:hAnsi="Arial" w:cs="Arial"/>
              </w:rPr>
              <w:t>4</w:t>
            </w:r>
            <w:r w:rsidRPr="000F4604">
              <w:rPr>
                <w:rFonts w:ascii="Arial" w:hAnsi="Arial" w:cs="Arial"/>
              </w:rPr>
              <w:t>%</w:t>
            </w:r>
          </w:p>
        </w:tc>
        <w:tc>
          <w:tcPr>
            <w:tcW w:w="1445" w:type="dxa"/>
          </w:tcPr>
          <w:p w:rsidR="009A74C7" w:rsidRPr="000F4604" w:rsidRDefault="009A74C7" w:rsidP="00681CD4">
            <w:pPr>
              <w:jc w:val="both"/>
              <w:rPr>
                <w:rFonts w:ascii="Arial" w:hAnsi="Arial" w:cs="Arial"/>
              </w:rPr>
            </w:pPr>
            <w:r w:rsidRPr="000F4604">
              <w:rPr>
                <w:rFonts w:ascii="Arial" w:hAnsi="Arial" w:cs="Arial"/>
              </w:rPr>
              <w:t>0.4%</w:t>
            </w:r>
          </w:p>
        </w:tc>
        <w:tc>
          <w:tcPr>
            <w:tcW w:w="1545" w:type="dxa"/>
          </w:tcPr>
          <w:p w:rsidR="009A74C7" w:rsidRPr="000F4604" w:rsidRDefault="00AC23C1" w:rsidP="00681CD4">
            <w:pPr>
              <w:jc w:val="both"/>
              <w:rPr>
                <w:rFonts w:ascii="Arial" w:hAnsi="Arial" w:cs="Arial"/>
              </w:rPr>
            </w:pPr>
            <w:r w:rsidRPr="000F4604">
              <w:rPr>
                <w:rFonts w:ascii="Arial" w:hAnsi="Arial" w:cs="Arial"/>
              </w:rPr>
              <w:t>0.3%</w:t>
            </w:r>
          </w:p>
        </w:tc>
        <w:tc>
          <w:tcPr>
            <w:tcW w:w="1537" w:type="dxa"/>
          </w:tcPr>
          <w:p w:rsidR="009A74C7" w:rsidRPr="000F4604" w:rsidRDefault="009A74C7" w:rsidP="00681CD4">
            <w:pPr>
              <w:jc w:val="both"/>
              <w:rPr>
                <w:rFonts w:ascii="Arial" w:hAnsi="Arial" w:cs="Arial"/>
              </w:rPr>
            </w:pPr>
            <w:r w:rsidRPr="000F4604">
              <w:rPr>
                <w:rFonts w:ascii="Arial" w:hAnsi="Arial" w:cs="Arial"/>
              </w:rPr>
              <w:t>0.3%</w:t>
            </w:r>
          </w:p>
        </w:tc>
      </w:tr>
      <w:tr w:rsidR="009A74C7" w:rsidRPr="000F4604" w:rsidTr="00DC4A48">
        <w:tc>
          <w:tcPr>
            <w:tcW w:w="2542" w:type="dxa"/>
            <w:gridSpan w:val="2"/>
          </w:tcPr>
          <w:p w:rsidR="009A74C7" w:rsidRPr="000F4604" w:rsidRDefault="009A74C7" w:rsidP="00681CD4">
            <w:pPr>
              <w:jc w:val="both"/>
              <w:rPr>
                <w:rFonts w:ascii="Arial" w:hAnsi="Arial" w:cs="Arial"/>
              </w:rPr>
            </w:pPr>
            <w:r w:rsidRPr="000F4604">
              <w:rPr>
                <w:rFonts w:ascii="Arial" w:hAnsi="Arial" w:cs="Arial"/>
              </w:rPr>
              <w:t>Caribbean</w:t>
            </w:r>
          </w:p>
        </w:tc>
        <w:tc>
          <w:tcPr>
            <w:tcW w:w="1436" w:type="dxa"/>
          </w:tcPr>
          <w:p w:rsidR="009A74C7" w:rsidRPr="000F4604" w:rsidRDefault="00AC23C1" w:rsidP="00681CD4">
            <w:pPr>
              <w:jc w:val="both"/>
              <w:rPr>
                <w:rFonts w:ascii="Arial" w:hAnsi="Arial" w:cs="Arial"/>
              </w:rPr>
            </w:pPr>
            <w:r w:rsidRPr="000F4604">
              <w:rPr>
                <w:rFonts w:ascii="Arial" w:hAnsi="Arial" w:cs="Arial"/>
              </w:rPr>
              <w:t>2.7</w:t>
            </w:r>
            <w:r w:rsidR="009A74C7" w:rsidRPr="000F4604">
              <w:rPr>
                <w:rFonts w:ascii="Arial" w:hAnsi="Arial" w:cs="Arial"/>
              </w:rPr>
              <w:t>%</w:t>
            </w:r>
          </w:p>
        </w:tc>
        <w:tc>
          <w:tcPr>
            <w:tcW w:w="1445" w:type="dxa"/>
          </w:tcPr>
          <w:p w:rsidR="009A74C7" w:rsidRPr="000F4604" w:rsidRDefault="009A74C7" w:rsidP="00681CD4">
            <w:pPr>
              <w:jc w:val="both"/>
              <w:rPr>
                <w:rFonts w:ascii="Arial" w:hAnsi="Arial" w:cs="Arial"/>
              </w:rPr>
            </w:pPr>
            <w:r w:rsidRPr="000F4604">
              <w:rPr>
                <w:rFonts w:ascii="Arial" w:hAnsi="Arial" w:cs="Arial"/>
              </w:rPr>
              <w:t>2.</w:t>
            </w:r>
            <w:r w:rsidR="00715647" w:rsidRPr="000F4604">
              <w:rPr>
                <w:rFonts w:ascii="Arial" w:hAnsi="Arial" w:cs="Arial"/>
              </w:rPr>
              <w:t>5</w:t>
            </w:r>
            <w:r w:rsidRPr="000F4604">
              <w:rPr>
                <w:rFonts w:ascii="Arial" w:hAnsi="Arial" w:cs="Arial"/>
              </w:rPr>
              <w:t>%</w:t>
            </w:r>
          </w:p>
        </w:tc>
        <w:tc>
          <w:tcPr>
            <w:tcW w:w="1545" w:type="dxa"/>
          </w:tcPr>
          <w:p w:rsidR="009A74C7" w:rsidRPr="000F4604" w:rsidRDefault="00715647" w:rsidP="00681CD4">
            <w:pPr>
              <w:jc w:val="both"/>
              <w:rPr>
                <w:rFonts w:ascii="Arial" w:hAnsi="Arial" w:cs="Arial"/>
              </w:rPr>
            </w:pPr>
            <w:r w:rsidRPr="000F4604">
              <w:rPr>
                <w:rFonts w:ascii="Arial" w:hAnsi="Arial" w:cs="Arial"/>
              </w:rPr>
              <w:t>2.9%</w:t>
            </w:r>
          </w:p>
        </w:tc>
        <w:tc>
          <w:tcPr>
            <w:tcW w:w="1537" w:type="dxa"/>
          </w:tcPr>
          <w:p w:rsidR="009A74C7" w:rsidRPr="000F4604" w:rsidRDefault="009A74C7" w:rsidP="00681CD4">
            <w:pPr>
              <w:jc w:val="both"/>
              <w:rPr>
                <w:rFonts w:ascii="Arial" w:hAnsi="Arial" w:cs="Arial"/>
              </w:rPr>
            </w:pPr>
            <w:r w:rsidRPr="000F4604">
              <w:rPr>
                <w:rFonts w:ascii="Arial" w:hAnsi="Arial" w:cs="Arial"/>
              </w:rPr>
              <w:t>3.</w:t>
            </w:r>
            <w:r w:rsidR="00DC4A48" w:rsidRPr="000F4604">
              <w:rPr>
                <w:rFonts w:ascii="Arial" w:hAnsi="Arial" w:cs="Arial"/>
              </w:rPr>
              <w:t>1</w:t>
            </w:r>
            <w:r w:rsidRPr="000F4604">
              <w:rPr>
                <w:rFonts w:ascii="Arial" w:hAnsi="Arial" w:cs="Arial"/>
              </w:rPr>
              <w:t>%</w:t>
            </w:r>
          </w:p>
        </w:tc>
      </w:tr>
      <w:tr w:rsidR="009A74C7" w:rsidRPr="000F4604" w:rsidTr="00DC4A48">
        <w:tc>
          <w:tcPr>
            <w:tcW w:w="2542" w:type="dxa"/>
            <w:gridSpan w:val="2"/>
          </w:tcPr>
          <w:p w:rsidR="009A74C7" w:rsidRPr="000F4604" w:rsidRDefault="009A74C7" w:rsidP="00681CD4">
            <w:pPr>
              <w:jc w:val="both"/>
              <w:rPr>
                <w:rFonts w:ascii="Arial" w:hAnsi="Arial" w:cs="Arial"/>
              </w:rPr>
            </w:pPr>
            <w:r w:rsidRPr="000F4604">
              <w:rPr>
                <w:rFonts w:ascii="Arial" w:hAnsi="Arial" w:cs="Arial"/>
              </w:rPr>
              <w:t>Chinese</w:t>
            </w:r>
          </w:p>
        </w:tc>
        <w:tc>
          <w:tcPr>
            <w:tcW w:w="1436" w:type="dxa"/>
          </w:tcPr>
          <w:p w:rsidR="009A74C7" w:rsidRPr="000F4604" w:rsidRDefault="009A74C7" w:rsidP="00681CD4">
            <w:pPr>
              <w:jc w:val="both"/>
              <w:rPr>
                <w:rFonts w:ascii="Arial" w:hAnsi="Arial" w:cs="Arial"/>
              </w:rPr>
            </w:pPr>
            <w:r w:rsidRPr="000F4604">
              <w:rPr>
                <w:rFonts w:ascii="Arial" w:hAnsi="Arial" w:cs="Arial"/>
              </w:rPr>
              <w:t>0.5%</w:t>
            </w:r>
          </w:p>
        </w:tc>
        <w:tc>
          <w:tcPr>
            <w:tcW w:w="1445" w:type="dxa"/>
          </w:tcPr>
          <w:p w:rsidR="009A74C7" w:rsidRPr="000F4604" w:rsidRDefault="009A74C7" w:rsidP="00681CD4">
            <w:pPr>
              <w:jc w:val="both"/>
              <w:rPr>
                <w:rFonts w:ascii="Arial" w:hAnsi="Arial" w:cs="Arial"/>
              </w:rPr>
            </w:pPr>
            <w:r w:rsidRPr="000F4604">
              <w:rPr>
                <w:rFonts w:ascii="Arial" w:hAnsi="Arial" w:cs="Arial"/>
              </w:rPr>
              <w:t>0.6%</w:t>
            </w:r>
          </w:p>
        </w:tc>
        <w:tc>
          <w:tcPr>
            <w:tcW w:w="1545" w:type="dxa"/>
          </w:tcPr>
          <w:p w:rsidR="009A74C7" w:rsidRPr="000F4604" w:rsidRDefault="00AC23C1" w:rsidP="00681CD4">
            <w:pPr>
              <w:jc w:val="both"/>
              <w:rPr>
                <w:rFonts w:ascii="Arial" w:hAnsi="Arial" w:cs="Arial"/>
              </w:rPr>
            </w:pPr>
            <w:r w:rsidRPr="000F4604">
              <w:rPr>
                <w:rFonts w:ascii="Arial" w:hAnsi="Arial" w:cs="Arial"/>
              </w:rPr>
              <w:t>0.7%</w:t>
            </w:r>
          </w:p>
        </w:tc>
        <w:tc>
          <w:tcPr>
            <w:tcW w:w="1537" w:type="dxa"/>
          </w:tcPr>
          <w:p w:rsidR="009A74C7" w:rsidRPr="000F4604" w:rsidRDefault="00DC4A48" w:rsidP="00681CD4">
            <w:pPr>
              <w:jc w:val="both"/>
              <w:rPr>
                <w:rFonts w:ascii="Arial" w:hAnsi="Arial" w:cs="Arial"/>
              </w:rPr>
            </w:pPr>
            <w:r w:rsidRPr="000F4604">
              <w:rPr>
                <w:rFonts w:ascii="Arial" w:hAnsi="Arial" w:cs="Arial"/>
              </w:rPr>
              <w:t>2.0</w:t>
            </w:r>
            <w:r w:rsidR="009A74C7" w:rsidRPr="000F4604">
              <w:rPr>
                <w:rFonts w:ascii="Arial" w:hAnsi="Arial" w:cs="Arial"/>
              </w:rPr>
              <w:t>%</w:t>
            </w:r>
          </w:p>
        </w:tc>
      </w:tr>
      <w:tr w:rsidR="009A74C7" w:rsidRPr="000F4604" w:rsidTr="00DC4A48">
        <w:tc>
          <w:tcPr>
            <w:tcW w:w="2542" w:type="dxa"/>
            <w:gridSpan w:val="2"/>
          </w:tcPr>
          <w:p w:rsidR="009A74C7" w:rsidRPr="000F4604" w:rsidRDefault="009A74C7" w:rsidP="00681CD4">
            <w:pPr>
              <w:jc w:val="both"/>
              <w:rPr>
                <w:rFonts w:ascii="Arial" w:hAnsi="Arial" w:cs="Arial"/>
              </w:rPr>
            </w:pPr>
            <w:r w:rsidRPr="000F4604">
              <w:rPr>
                <w:rFonts w:ascii="Arial" w:hAnsi="Arial" w:cs="Arial"/>
              </w:rPr>
              <w:t>Indian</w:t>
            </w:r>
          </w:p>
        </w:tc>
        <w:tc>
          <w:tcPr>
            <w:tcW w:w="1436" w:type="dxa"/>
          </w:tcPr>
          <w:p w:rsidR="009A74C7" w:rsidRPr="000F4604" w:rsidRDefault="009A74C7" w:rsidP="00681CD4">
            <w:pPr>
              <w:jc w:val="both"/>
              <w:rPr>
                <w:rFonts w:ascii="Arial" w:hAnsi="Arial" w:cs="Arial"/>
              </w:rPr>
            </w:pPr>
            <w:r w:rsidRPr="000F4604">
              <w:rPr>
                <w:rFonts w:ascii="Arial" w:hAnsi="Arial" w:cs="Arial"/>
              </w:rPr>
              <w:t>1.</w:t>
            </w:r>
            <w:r w:rsidR="00AC23C1" w:rsidRPr="000F4604">
              <w:rPr>
                <w:rFonts w:ascii="Arial" w:hAnsi="Arial" w:cs="Arial"/>
              </w:rPr>
              <w:t>6</w:t>
            </w:r>
            <w:r w:rsidRPr="000F4604">
              <w:rPr>
                <w:rFonts w:ascii="Arial" w:hAnsi="Arial" w:cs="Arial"/>
              </w:rPr>
              <w:t>%</w:t>
            </w:r>
          </w:p>
        </w:tc>
        <w:tc>
          <w:tcPr>
            <w:tcW w:w="1445" w:type="dxa"/>
          </w:tcPr>
          <w:p w:rsidR="009A74C7" w:rsidRPr="000F4604" w:rsidRDefault="009A74C7" w:rsidP="00681CD4">
            <w:pPr>
              <w:jc w:val="both"/>
              <w:rPr>
                <w:rFonts w:ascii="Arial" w:hAnsi="Arial" w:cs="Arial"/>
              </w:rPr>
            </w:pPr>
            <w:r w:rsidRPr="000F4604">
              <w:rPr>
                <w:rFonts w:ascii="Arial" w:hAnsi="Arial" w:cs="Arial"/>
              </w:rPr>
              <w:t>1.</w:t>
            </w:r>
            <w:r w:rsidR="00AC23C1" w:rsidRPr="000F4604">
              <w:rPr>
                <w:rFonts w:ascii="Arial" w:hAnsi="Arial" w:cs="Arial"/>
              </w:rPr>
              <w:t>4</w:t>
            </w:r>
            <w:r w:rsidRPr="000F4604">
              <w:rPr>
                <w:rFonts w:ascii="Arial" w:hAnsi="Arial" w:cs="Arial"/>
              </w:rPr>
              <w:t>%</w:t>
            </w:r>
          </w:p>
        </w:tc>
        <w:tc>
          <w:tcPr>
            <w:tcW w:w="1545" w:type="dxa"/>
          </w:tcPr>
          <w:p w:rsidR="009A74C7" w:rsidRPr="000F4604" w:rsidRDefault="00AC23C1" w:rsidP="00681CD4">
            <w:pPr>
              <w:jc w:val="both"/>
              <w:rPr>
                <w:rFonts w:ascii="Arial" w:hAnsi="Arial" w:cs="Arial"/>
              </w:rPr>
            </w:pPr>
            <w:r w:rsidRPr="000F4604">
              <w:rPr>
                <w:rFonts w:ascii="Arial" w:hAnsi="Arial" w:cs="Arial"/>
              </w:rPr>
              <w:t>1.5%</w:t>
            </w:r>
          </w:p>
        </w:tc>
        <w:tc>
          <w:tcPr>
            <w:tcW w:w="1537" w:type="dxa"/>
          </w:tcPr>
          <w:p w:rsidR="009A74C7" w:rsidRPr="000F4604" w:rsidRDefault="009A74C7" w:rsidP="00681CD4">
            <w:pPr>
              <w:jc w:val="both"/>
              <w:rPr>
                <w:rFonts w:ascii="Arial" w:hAnsi="Arial" w:cs="Arial"/>
              </w:rPr>
            </w:pPr>
            <w:r w:rsidRPr="000F4604">
              <w:rPr>
                <w:rFonts w:ascii="Arial" w:hAnsi="Arial" w:cs="Arial"/>
              </w:rPr>
              <w:t>3.2%</w:t>
            </w:r>
          </w:p>
        </w:tc>
      </w:tr>
      <w:tr w:rsidR="009A74C7" w:rsidRPr="000F4604" w:rsidTr="00DC4A48">
        <w:tc>
          <w:tcPr>
            <w:tcW w:w="2542" w:type="dxa"/>
            <w:gridSpan w:val="2"/>
          </w:tcPr>
          <w:p w:rsidR="009A74C7" w:rsidRPr="000F4604" w:rsidRDefault="009A74C7" w:rsidP="00681CD4">
            <w:pPr>
              <w:jc w:val="both"/>
              <w:rPr>
                <w:rFonts w:ascii="Arial" w:hAnsi="Arial" w:cs="Arial"/>
              </w:rPr>
            </w:pPr>
            <w:r w:rsidRPr="000F4604">
              <w:rPr>
                <w:rFonts w:ascii="Arial" w:hAnsi="Arial" w:cs="Arial"/>
              </w:rPr>
              <w:t>Pakistani</w:t>
            </w:r>
          </w:p>
        </w:tc>
        <w:tc>
          <w:tcPr>
            <w:tcW w:w="1436" w:type="dxa"/>
          </w:tcPr>
          <w:p w:rsidR="009A74C7" w:rsidRPr="000F4604" w:rsidRDefault="00AC23C1" w:rsidP="00681CD4">
            <w:pPr>
              <w:jc w:val="both"/>
              <w:rPr>
                <w:rFonts w:ascii="Arial" w:hAnsi="Arial" w:cs="Arial"/>
              </w:rPr>
            </w:pPr>
            <w:r w:rsidRPr="000F4604">
              <w:rPr>
                <w:rFonts w:ascii="Arial" w:hAnsi="Arial" w:cs="Arial"/>
              </w:rPr>
              <w:t>3.3</w:t>
            </w:r>
            <w:r w:rsidR="009A74C7" w:rsidRPr="000F4604">
              <w:rPr>
                <w:rFonts w:ascii="Arial" w:hAnsi="Arial" w:cs="Arial"/>
              </w:rPr>
              <w:t>%</w:t>
            </w:r>
          </w:p>
        </w:tc>
        <w:tc>
          <w:tcPr>
            <w:tcW w:w="1445" w:type="dxa"/>
          </w:tcPr>
          <w:p w:rsidR="009A74C7" w:rsidRPr="000F4604" w:rsidRDefault="009A74C7" w:rsidP="00681CD4">
            <w:pPr>
              <w:jc w:val="both"/>
              <w:rPr>
                <w:rFonts w:ascii="Arial" w:hAnsi="Arial" w:cs="Arial"/>
              </w:rPr>
            </w:pPr>
            <w:r w:rsidRPr="000F4604">
              <w:rPr>
                <w:rFonts w:ascii="Arial" w:hAnsi="Arial" w:cs="Arial"/>
              </w:rPr>
              <w:t>3.</w:t>
            </w:r>
            <w:r w:rsidR="00AC23C1" w:rsidRPr="000F4604">
              <w:rPr>
                <w:rFonts w:ascii="Arial" w:hAnsi="Arial" w:cs="Arial"/>
              </w:rPr>
              <w:t>3</w:t>
            </w:r>
            <w:r w:rsidRPr="000F4604">
              <w:rPr>
                <w:rFonts w:ascii="Arial" w:hAnsi="Arial" w:cs="Arial"/>
              </w:rPr>
              <w:t>%</w:t>
            </w:r>
          </w:p>
        </w:tc>
        <w:tc>
          <w:tcPr>
            <w:tcW w:w="1545" w:type="dxa"/>
          </w:tcPr>
          <w:p w:rsidR="009A74C7" w:rsidRPr="000F4604" w:rsidRDefault="00AC23C1" w:rsidP="00681CD4">
            <w:pPr>
              <w:jc w:val="both"/>
              <w:rPr>
                <w:rFonts w:ascii="Arial" w:hAnsi="Arial" w:cs="Arial"/>
              </w:rPr>
            </w:pPr>
            <w:r w:rsidRPr="000F4604">
              <w:rPr>
                <w:rFonts w:ascii="Arial" w:hAnsi="Arial" w:cs="Arial"/>
              </w:rPr>
              <w:t>4.0%</w:t>
            </w:r>
          </w:p>
        </w:tc>
        <w:tc>
          <w:tcPr>
            <w:tcW w:w="1537" w:type="dxa"/>
          </w:tcPr>
          <w:p w:rsidR="009A74C7" w:rsidRPr="000F4604" w:rsidRDefault="009A74C7" w:rsidP="00681CD4">
            <w:pPr>
              <w:jc w:val="both"/>
              <w:rPr>
                <w:rFonts w:ascii="Arial" w:hAnsi="Arial" w:cs="Arial"/>
              </w:rPr>
            </w:pPr>
            <w:r w:rsidRPr="000F4604">
              <w:rPr>
                <w:rFonts w:ascii="Arial" w:hAnsi="Arial" w:cs="Arial"/>
              </w:rPr>
              <w:t>5.</w:t>
            </w:r>
            <w:r w:rsidR="00DC4A48" w:rsidRPr="000F4604">
              <w:rPr>
                <w:rFonts w:ascii="Arial" w:hAnsi="Arial" w:cs="Arial"/>
              </w:rPr>
              <w:t>5</w:t>
            </w:r>
            <w:r w:rsidRPr="000F4604">
              <w:rPr>
                <w:rFonts w:ascii="Arial" w:hAnsi="Arial" w:cs="Arial"/>
              </w:rPr>
              <w:t>%</w:t>
            </w:r>
          </w:p>
        </w:tc>
      </w:tr>
      <w:tr w:rsidR="00AC23C1" w:rsidRPr="000F4604" w:rsidTr="00DC4A48">
        <w:tc>
          <w:tcPr>
            <w:tcW w:w="2542" w:type="dxa"/>
            <w:gridSpan w:val="2"/>
          </w:tcPr>
          <w:p w:rsidR="00AC23C1" w:rsidRPr="000F4604" w:rsidRDefault="00AC23C1" w:rsidP="00681CD4">
            <w:pPr>
              <w:jc w:val="both"/>
              <w:rPr>
                <w:rFonts w:ascii="Arial" w:hAnsi="Arial" w:cs="Arial"/>
              </w:rPr>
            </w:pPr>
            <w:r w:rsidRPr="000F4604">
              <w:rPr>
                <w:rFonts w:ascii="Arial" w:hAnsi="Arial" w:cs="Arial"/>
              </w:rPr>
              <w:t>Other Asian</w:t>
            </w:r>
          </w:p>
        </w:tc>
        <w:tc>
          <w:tcPr>
            <w:tcW w:w="1436" w:type="dxa"/>
          </w:tcPr>
          <w:p w:rsidR="00AC23C1" w:rsidRPr="000F4604" w:rsidRDefault="00AC23C1" w:rsidP="00681CD4">
            <w:pPr>
              <w:jc w:val="both"/>
              <w:rPr>
                <w:rFonts w:ascii="Arial" w:hAnsi="Arial" w:cs="Arial"/>
              </w:rPr>
            </w:pPr>
            <w:r w:rsidRPr="000F4604">
              <w:rPr>
                <w:rFonts w:ascii="Arial" w:hAnsi="Arial" w:cs="Arial"/>
              </w:rPr>
              <w:t>2.2%</w:t>
            </w:r>
          </w:p>
        </w:tc>
        <w:tc>
          <w:tcPr>
            <w:tcW w:w="1445" w:type="dxa"/>
          </w:tcPr>
          <w:p w:rsidR="00AC23C1" w:rsidRPr="000F4604" w:rsidRDefault="00AC23C1" w:rsidP="00681CD4">
            <w:pPr>
              <w:jc w:val="both"/>
              <w:rPr>
                <w:rFonts w:ascii="Arial" w:hAnsi="Arial" w:cs="Arial"/>
              </w:rPr>
            </w:pPr>
            <w:r w:rsidRPr="000F4604">
              <w:rPr>
                <w:rFonts w:ascii="Arial" w:hAnsi="Arial" w:cs="Arial"/>
              </w:rPr>
              <w:t>2.5%</w:t>
            </w:r>
          </w:p>
        </w:tc>
        <w:tc>
          <w:tcPr>
            <w:tcW w:w="1545" w:type="dxa"/>
          </w:tcPr>
          <w:p w:rsidR="00AC23C1" w:rsidRPr="000F4604" w:rsidRDefault="00AC23C1" w:rsidP="00681CD4">
            <w:pPr>
              <w:jc w:val="both"/>
              <w:rPr>
                <w:rFonts w:ascii="Arial" w:hAnsi="Arial" w:cs="Arial"/>
              </w:rPr>
            </w:pPr>
            <w:r w:rsidRPr="000F4604">
              <w:rPr>
                <w:rFonts w:ascii="Arial" w:hAnsi="Arial" w:cs="Arial"/>
              </w:rPr>
              <w:t>3.1%</w:t>
            </w:r>
          </w:p>
        </w:tc>
        <w:tc>
          <w:tcPr>
            <w:tcW w:w="1537" w:type="dxa"/>
          </w:tcPr>
          <w:p w:rsidR="00AC23C1" w:rsidRPr="000F4604" w:rsidRDefault="00C47A0F" w:rsidP="00681CD4">
            <w:pPr>
              <w:jc w:val="both"/>
              <w:rPr>
                <w:rFonts w:ascii="Arial" w:hAnsi="Arial" w:cs="Arial"/>
              </w:rPr>
            </w:pPr>
            <w:r w:rsidRPr="000F4604">
              <w:rPr>
                <w:rFonts w:ascii="Arial" w:hAnsi="Arial" w:cs="Arial"/>
              </w:rPr>
              <w:t>2.0%</w:t>
            </w:r>
          </w:p>
        </w:tc>
      </w:tr>
      <w:tr w:rsidR="00AC23C1" w:rsidRPr="000F4604" w:rsidTr="00DC4A48">
        <w:tc>
          <w:tcPr>
            <w:tcW w:w="2542" w:type="dxa"/>
            <w:gridSpan w:val="2"/>
          </w:tcPr>
          <w:p w:rsidR="00AC23C1" w:rsidRPr="000F4604" w:rsidRDefault="00AC23C1" w:rsidP="00681CD4">
            <w:pPr>
              <w:jc w:val="both"/>
              <w:rPr>
                <w:rFonts w:ascii="Arial" w:hAnsi="Arial" w:cs="Arial"/>
              </w:rPr>
            </w:pPr>
            <w:r w:rsidRPr="000F4604">
              <w:rPr>
                <w:rFonts w:ascii="Arial" w:hAnsi="Arial" w:cs="Arial"/>
              </w:rPr>
              <w:t>Other Black</w:t>
            </w:r>
          </w:p>
        </w:tc>
        <w:tc>
          <w:tcPr>
            <w:tcW w:w="1436" w:type="dxa"/>
          </w:tcPr>
          <w:p w:rsidR="00AC23C1" w:rsidRPr="000F4604" w:rsidRDefault="00C47A0F" w:rsidP="00681CD4">
            <w:pPr>
              <w:jc w:val="both"/>
              <w:rPr>
                <w:rFonts w:ascii="Arial" w:hAnsi="Arial" w:cs="Arial"/>
              </w:rPr>
            </w:pPr>
            <w:r w:rsidRPr="000F4604">
              <w:rPr>
                <w:rFonts w:ascii="Arial" w:hAnsi="Arial" w:cs="Arial"/>
              </w:rPr>
              <w:t>0.9%</w:t>
            </w:r>
          </w:p>
        </w:tc>
        <w:tc>
          <w:tcPr>
            <w:tcW w:w="1445" w:type="dxa"/>
          </w:tcPr>
          <w:p w:rsidR="00AC23C1" w:rsidRPr="000F4604" w:rsidRDefault="00C47A0F" w:rsidP="00681CD4">
            <w:pPr>
              <w:jc w:val="both"/>
              <w:rPr>
                <w:rFonts w:ascii="Arial" w:hAnsi="Arial" w:cs="Arial"/>
              </w:rPr>
            </w:pPr>
            <w:r w:rsidRPr="000F4604">
              <w:rPr>
                <w:rFonts w:ascii="Arial" w:hAnsi="Arial" w:cs="Arial"/>
              </w:rPr>
              <w:t>0.8%</w:t>
            </w:r>
          </w:p>
        </w:tc>
        <w:tc>
          <w:tcPr>
            <w:tcW w:w="1545" w:type="dxa"/>
          </w:tcPr>
          <w:p w:rsidR="00AC23C1" w:rsidRPr="000F4604" w:rsidRDefault="00C47A0F" w:rsidP="00681CD4">
            <w:pPr>
              <w:jc w:val="both"/>
              <w:rPr>
                <w:rFonts w:ascii="Arial" w:hAnsi="Arial" w:cs="Arial"/>
              </w:rPr>
            </w:pPr>
            <w:r w:rsidRPr="000F4604">
              <w:rPr>
                <w:rFonts w:ascii="Arial" w:hAnsi="Arial" w:cs="Arial"/>
              </w:rPr>
              <w:t>1.3%</w:t>
            </w:r>
          </w:p>
        </w:tc>
        <w:tc>
          <w:tcPr>
            <w:tcW w:w="1537" w:type="dxa"/>
          </w:tcPr>
          <w:p w:rsidR="00AC23C1" w:rsidRPr="000F4604" w:rsidRDefault="00C47A0F" w:rsidP="00681CD4">
            <w:pPr>
              <w:jc w:val="both"/>
              <w:rPr>
                <w:rFonts w:ascii="Arial" w:hAnsi="Arial" w:cs="Arial"/>
              </w:rPr>
            </w:pPr>
            <w:r w:rsidRPr="000F4604">
              <w:rPr>
                <w:rFonts w:ascii="Arial" w:hAnsi="Arial" w:cs="Arial"/>
              </w:rPr>
              <w:t>1.0%</w:t>
            </w:r>
          </w:p>
        </w:tc>
      </w:tr>
      <w:tr w:rsidR="00AC23C1" w:rsidRPr="000F4604" w:rsidTr="00DC4A48">
        <w:tc>
          <w:tcPr>
            <w:tcW w:w="2542" w:type="dxa"/>
            <w:gridSpan w:val="2"/>
          </w:tcPr>
          <w:p w:rsidR="00AC23C1" w:rsidRPr="000F4604" w:rsidRDefault="00AC23C1" w:rsidP="00681CD4">
            <w:pPr>
              <w:jc w:val="both"/>
              <w:rPr>
                <w:rFonts w:ascii="Arial" w:hAnsi="Arial" w:cs="Arial"/>
              </w:rPr>
            </w:pPr>
            <w:r w:rsidRPr="000F4604">
              <w:rPr>
                <w:rFonts w:ascii="Arial" w:hAnsi="Arial" w:cs="Arial"/>
              </w:rPr>
              <w:t>White/Black Caribbean</w:t>
            </w:r>
          </w:p>
        </w:tc>
        <w:tc>
          <w:tcPr>
            <w:tcW w:w="1436" w:type="dxa"/>
          </w:tcPr>
          <w:p w:rsidR="00AC23C1" w:rsidRPr="000F4604" w:rsidRDefault="00AC23C1" w:rsidP="00681CD4">
            <w:pPr>
              <w:jc w:val="both"/>
              <w:rPr>
                <w:rFonts w:ascii="Arial" w:hAnsi="Arial" w:cs="Arial"/>
              </w:rPr>
            </w:pPr>
            <w:r w:rsidRPr="000F4604">
              <w:rPr>
                <w:rFonts w:ascii="Arial" w:hAnsi="Arial" w:cs="Arial"/>
              </w:rPr>
              <w:t>2.2%</w:t>
            </w:r>
          </w:p>
        </w:tc>
        <w:tc>
          <w:tcPr>
            <w:tcW w:w="1445" w:type="dxa"/>
          </w:tcPr>
          <w:p w:rsidR="00AC23C1" w:rsidRPr="000F4604" w:rsidRDefault="00AC23C1" w:rsidP="00681CD4">
            <w:pPr>
              <w:jc w:val="both"/>
              <w:rPr>
                <w:rFonts w:ascii="Arial" w:hAnsi="Arial" w:cs="Arial"/>
              </w:rPr>
            </w:pPr>
            <w:r w:rsidRPr="000F4604">
              <w:rPr>
                <w:rFonts w:ascii="Arial" w:hAnsi="Arial" w:cs="Arial"/>
              </w:rPr>
              <w:t>2.5%</w:t>
            </w:r>
          </w:p>
        </w:tc>
        <w:tc>
          <w:tcPr>
            <w:tcW w:w="1545" w:type="dxa"/>
          </w:tcPr>
          <w:p w:rsidR="00AC23C1" w:rsidRPr="000F4604" w:rsidRDefault="00AC23C1" w:rsidP="00681CD4">
            <w:pPr>
              <w:jc w:val="both"/>
              <w:rPr>
                <w:rFonts w:ascii="Arial" w:hAnsi="Arial" w:cs="Arial"/>
              </w:rPr>
            </w:pPr>
            <w:r w:rsidRPr="000F4604">
              <w:rPr>
                <w:rFonts w:ascii="Arial" w:hAnsi="Arial" w:cs="Arial"/>
              </w:rPr>
              <w:t>2.3%</w:t>
            </w:r>
          </w:p>
        </w:tc>
        <w:tc>
          <w:tcPr>
            <w:tcW w:w="1537" w:type="dxa"/>
          </w:tcPr>
          <w:p w:rsidR="00AC23C1" w:rsidRPr="000F4604" w:rsidRDefault="00C47A0F" w:rsidP="00681CD4">
            <w:pPr>
              <w:jc w:val="both"/>
              <w:rPr>
                <w:rFonts w:ascii="Arial" w:hAnsi="Arial" w:cs="Arial"/>
              </w:rPr>
            </w:pPr>
            <w:r w:rsidRPr="000F4604">
              <w:rPr>
                <w:rFonts w:ascii="Arial" w:hAnsi="Arial" w:cs="Arial"/>
              </w:rPr>
              <w:t>4.0%</w:t>
            </w:r>
          </w:p>
        </w:tc>
      </w:tr>
    </w:tbl>
    <w:p w:rsidR="00FE6103" w:rsidRPr="000F4604" w:rsidRDefault="00FE6103" w:rsidP="00681CD4">
      <w:pPr>
        <w:spacing w:after="0" w:line="240" w:lineRule="auto"/>
        <w:jc w:val="both"/>
        <w:rPr>
          <w:rFonts w:eastAsia="SimSun" w:cs="Arial"/>
          <w:lang w:eastAsia="zh-CN"/>
        </w:rPr>
      </w:pPr>
    </w:p>
    <w:p w:rsidR="001A24E7" w:rsidRPr="000F4604" w:rsidRDefault="001A24E7" w:rsidP="00681CD4">
      <w:pPr>
        <w:spacing w:after="0" w:line="240" w:lineRule="auto"/>
        <w:rPr>
          <w:rFonts w:cs="Arial"/>
        </w:rPr>
      </w:pPr>
      <w:r w:rsidRPr="000F4604">
        <w:rPr>
          <w:rFonts w:cs="Arial"/>
        </w:rPr>
        <w:t>6 ethnic groups have seen an increase in learner numbers, including Gypsy/Irish traveller.</w:t>
      </w:r>
    </w:p>
    <w:p w:rsidR="001A24E7" w:rsidRPr="000F4604" w:rsidRDefault="001A24E7" w:rsidP="00681CD4">
      <w:pPr>
        <w:spacing w:after="0" w:line="240" w:lineRule="auto"/>
        <w:rPr>
          <w:rFonts w:cs="Arial"/>
        </w:rPr>
      </w:pPr>
      <w:r w:rsidRPr="000F4604">
        <w:rPr>
          <w:rFonts w:cs="Arial"/>
        </w:rPr>
        <w:t>There has been an improvement in success rates against national benchmark for more ethnic groups in 14/15 compared to previous years. 8 ethnic groups have above college average and national SSR rates, with 4 groups above the average by more than +2%.  ‘Other’, Chinese, Indian and White Other groups are all +5% above the national rate</w:t>
      </w:r>
    </w:p>
    <w:p w:rsidR="001A24E7" w:rsidRPr="000F4604" w:rsidRDefault="001A24E7" w:rsidP="00681CD4">
      <w:pPr>
        <w:spacing w:after="0" w:line="240" w:lineRule="auto"/>
        <w:rPr>
          <w:rFonts w:cs="Arial"/>
        </w:rPr>
      </w:pPr>
    </w:p>
    <w:p w:rsidR="009A74C7" w:rsidRPr="000F4604" w:rsidRDefault="009A74C7" w:rsidP="00681CD4">
      <w:pPr>
        <w:spacing w:after="0" w:line="240" w:lineRule="auto"/>
        <w:rPr>
          <w:rFonts w:cs="Arial"/>
        </w:rPr>
      </w:pPr>
      <w:r w:rsidRPr="000F4604">
        <w:rPr>
          <w:rFonts w:cs="Arial"/>
        </w:rPr>
        <w:t>The narrowing of the achievement gap between ethnic groups from 12/13 has been maintained</w:t>
      </w:r>
      <w:r w:rsidR="00C94EC0" w:rsidRPr="000F4604">
        <w:rPr>
          <w:rFonts w:cs="Arial"/>
        </w:rPr>
        <w:t>.</w:t>
      </w:r>
    </w:p>
    <w:p w:rsidR="009A74C7" w:rsidRPr="000F4604" w:rsidRDefault="009A74C7" w:rsidP="00681CD4">
      <w:pPr>
        <w:spacing w:after="0" w:line="240" w:lineRule="auto"/>
        <w:rPr>
          <w:rFonts w:cs="Arial"/>
        </w:rPr>
      </w:pPr>
    </w:p>
    <w:p w:rsidR="009A74C7" w:rsidRPr="000F4604" w:rsidRDefault="009A74C7" w:rsidP="00681CD4">
      <w:pPr>
        <w:spacing w:after="0" w:line="240" w:lineRule="auto"/>
        <w:rPr>
          <w:rFonts w:cs="Arial"/>
        </w:rPr>
      </w:pPr>
      <w:r w:rsidRPr="000F4604">
        <w:rPr>
          <w:rFonts w:cs="Arial"/>
        </w:rPr>
        <w:t>There have been improvements in retention across 11 ethnic groups</w:t>
      </w:r>
      <w:r w:rsidR="001A24E7" w:rsidRPr="000F4604">
        <w:rPr>
          <w:rFonts w:cs="Arial"/>
        </w:rPr>
        <w:t xml:space="preserve"> and </w:t>
      </w:r>
      <w:r w:rsidR="00C94EC0" w:rsidRPr="000F4604">
        <w:rPr>
          <w:rFonts w:cs="Arial"/>
        </w:rPr>
        <w:t xml:space="preserve">a </w:t>
      </w:r>
      <w:r w:rsidR="001A24E7" w:rsidRPr="000F4604">
        <w:rPr>
          <w:rFonts w:cs="Arial"/>
        </w:rPr>
        <w:t>reduction in the differential between groups in the last year.</w:t>
      </w:r>
    </w:p>
    <w:p w:rsidR="009A74C7" w:rsidRPr="000F4604" w:rsidRDefault="009A74C7" w:rsidP="00681CD4">
      <w:pPr>
        <w:spacing w:after="0" w:line="240" w:lineRule="auto"/>
        <w:rPr>
          <w:rFonts w:cs="Arial"/>
        </w:rPr>
      </w:pPr>
    </w:p>
    <w:p w:rsidR="009A74C7" w:rsidRPr="000F4604" w:rsidRDefault="009A74C7" w:rsidP="00681CD4">
      <w:pPr>
        <w:spacing w:after="0" w:line="240" w:lineRule="auto"/>
        <w:rPr>
          <w:rFonts w:cs="Arial"/>
        </w:rPr>
      </w:pPr>
      <w:r w:rsidRPr="000F4604">
        <w:rPr>
          <w:rFonts w:cs="Arial"/>
        </w:rPr>
        <w:t>Retention for African, Caribbean, and White/Black Caribbean, is highlig</w:t>
      </w:r>
      <w:r w:rsidR="001A24E7" w:rsidRPr="000F4604">
        <w:rPr>
          <w:rFonts w:cs="Arial"/>
        </w:rPr>
        <w:t xml:space="preserve">hted as an area for improvement. </w:t>
      </w:r>
    </w:p>
    <w:p w:rsidR="009A74C7" w:rsidRPr="000F4604" w:rsidRDefault="009A74C7" w:rsidP="00681CD4">
      <w:pPr>
        <w:spacing w:after="0" w:line="240" w:lineRule="auto"/>
        <w:jc w:val="both"/>
        <w:rPr>
          <w:rFonts w:eastAsia="SimSun" w:cs="Arial"/>
          <w:highlight w:val="yellow"/>
          <w:lang w:eastAsia="zh-CN"/>
        </w:rPr>
      </w:pPr>
    </w:p>
    <w:p w:rsidR="00E03F58" w:rsidRPr="000F4604" w:rsidRDefault="00E03F58" w:rsidP="00681CD4">
      <w:pPr>
        <w:spacing w:after="0" w:line="240" w:lineRule="auto"/>
        <w:jc w:val="both"/>
        <w:rPr>
          <w:rFonts w:eastAsia="SimSun" w:cs="Arial"/>
          <w:lang w:eastAsia="zh-CN"/>
        </w:rPr>
      </w:pPr>
      <w:r w:rsidRPr="000F4604">
        <w:rPr>
          <w:rFonts w:cs="Arial"/>
        </w:rPr>
        <w:t>In conclusion</w:t>
      </w:r>
      <w:r w:rsidR="00692E69" w:rsidRPr="000F4604">
        <w:rPr>
          <w:rFonts w:cs="Arial"/>
        </w:rPr>
        <w:t>,</w:t>
      </w:r>
      <w:r w:rsidRPr="000F4604">
        <w:rPr>
          <w:rFonts w:cs="Arial"/>
        </w:rPr>
        <w:t xml:space="preserve"> gaps between ethnic groups </w:t>
      </w:r>
      <w:r w:rsidR="00F458CD" w:rsidRPr="000F4604">
        <w:rPr>
          <w:rFonts w:cs="Arial"/>
        </w:rPr>
        <w:t xml:space="preserve">continued to </w:t>
      </w:r>
      <w:r w:rsidRPr="000F4604">
        <w:rPr>
          <w:rFonts w:cs="Arial"/>
        </w:rPr>
        <w:t>narrow</w:t>
      </w:r>
      <w:r w:rsidR="001B5E59" w:rsidRPr="000F4604">
        <w:rPr>
          <w:rFonts w:cs="Arial"/>
        </w:rPr>
        <w:t xml:space="preserve"> </w:t>
      </w:r>
      <w:r w:rsidR="00C94EC0" w:rsidRPr="000F4604">
        <w:rPr>
          <w:rFonts w:cs="Arial"/>
        </w:rPr>
        <w:t>in 2015</w:t>
      </w:r>
      <w:r w:rsidR="00F458CD" w:rsidRPr="000F4604">
        <w:rPr>
          <w:rFonts w:cs="Arial"/>
        </w:rPr>
        <w:t xml:space="preserve">. </w:t>
      </w:r>
      <w:r w:rsidR="005D4483" w:rsidRPr="000F4604">
        <w:rPr>
          <w:rFonts w:eastAsia="SimSun" w:cs="Arial"/>
          <w:lang w:eastAsia="zh-CN"/>
        </w:rPr>
        <w:t>Each School</w:t>
      </w:r>
      <w:r w:rsidRPr="000F4604">
        <w:rPr>
          <w:rFonts w:eastAsia="SimSun" w:cs="Arial"/>
          <w:lang w:eastAsia="zh-CN"/>
        </w:rPr>
        <w:t>, through locally managed plans, continue</w:t>
      </w:r>
      <w:r w:rsidR="00692E69" w:rsidRPr="000F4604">
        <w:rPr>
          <w:rFonts w:eastAsia="SimSun" w:cs="Arial"/>
          <w:lang w:eastAsia="zh-CN"/>
        </w:rPr>
        <w:t>s</w:t>
      </w:r>
      <w:r w:rsidRPr="000F4604">
        <w:rPr>
          <w:rFonts w:eastAsia="SimSun" w:cs="Arial"/>
          <w:lang w:eastAsia="zh-CN"/>
        </w:rPr>
        <w:t xml:space="preserve"> to set </w:t>
      </w:r>
      <w:r w:rsidR="005D4483" w:rsidRPr="000F4604">
        <w:rPr>
          <w:rFonts w:eastAsia="SimSun" w:cs="Arial"/>
          <w:lang w:eastAsia="zh-CN"/>
        </w:rPr>
        <w:t>targets</w:t>
      </w:r>
      <w:r w:rsidR="009E044B" w:rsidRPr="000F4604">
        <w:rPr>
          <w:rFonts w:eastAsia="SimSun" w:cs="Arial"/>
          <w:lang w:eastAsia="zh-CN"/>
        </w:rPr>
        <w:t xml:space="preserve"> for </w:t>
      </w:r>
      <w:r w:rsidRPr="000F4604">
        <w:rPr>
          <w:rFonts w:eastAsia="SimSun" w:cs="Arial"/>
          <w:lang w:eastAsia="zh-CN"/>
        </w:rPr>
        <w:t>201</w:t>
      </w:r>
      <w:r w:rsidR="001A24E7" w:rsidRPr="000F4604">
        <w:rPr>
          <w:rFonts w:eastAsia="SimSun" w:cs="Arial"/>
          <w:lang w:eastAsia="zh-CN"/>
        </w:rPr>
        <w:t>5</w:t>
      </w:r>
      <w:r w:rsidRPr="000F4604">
        <w:rPr>
          <w:rFonts w:eastAsia="SimSun" w:cs="Arial"/>
          <w:lang w:eastAsia="zh-CN"/>
        </w:rPr>
        <w:t>-201</w:t>
      </w:r>
      <w:r w:rsidR="001A24E7" w:rsidRPr="000F4604">
        <w:rPr>
          <w:rFonts w:eastAsia="SimSun" w:cs="Arial"/>
          <w:lang w:eastAsia="zh-CN"/>
        </w:rPr>
        <w:t>6</w:t>
      </w:r>
      <w:r w:rsidRPr="000F4604">
        <w:rPr>
          <w:rFonts w:eastAsia="SimSun" w:cs="Arial"/>
          <w:lang w:eastAsia="zh-CN"/>
        </w:rPr>
        <w:t xml:space="preserve"> to address </w:t>
      </w:r>
      <w:r w:rsidR="005D4483" w:rsidRPr="000F4604">
        <w:rPr>
          <w:rFonts w:eastAsia="SimSun" w:cs="Arial"/>
          <w:lang w:eastAsia="zh-CN"/>
        </w:rPr>
        <w:t>any imbalance in the learner profile.</w:t>
      </w:r>
      <w:r w:rsidRPr="000F4604">
        <w:rPr>
          <w:rFonts w:eastAsia="SimSun" w:cs="Arial"/>
          <w:lang w:eastAsia="zh-CN"/>
        </w:rPr>
        <w:t xml:space="preserve"> </w:t>
      </w:r>
    </w:p>
    <w:p w:rsidR="001A24E7" w:rsidRPr="000F4604" w:rsidRDefault="001A24E7" w:rsidP="00681CD4">
      <w:pPr>
        <w:spacing w:after="0" w:line="240" w:lineRule="auto"/>
        <w:jc w:val="both"/>
        <w:rPr>
          <w:rFonts w:eastAsia="SimSun" w:cs="Arial"/>
          <w:lang w:eastAsia="zh-CN"/>
        </w:rPr>
      </w:pPr>
    </w:p>
    <w:p w:rsidR="001A24E7" w:rsidRPr="000F4604" w:rsidRDefault="001A24E7" w:rsidP="00681CD4">
      <w:pPr>
        <w:spacing w:after="0" w:line="240" w:lineRule="auto"/>
        <w:jc w:val="both"/>
        <w:rPr>
          <w:rFonts w:eastAsia="SimSun" w:cs="Arial"/>
          <w:u w:val="single"/>
          <w:lang w:eastAsia="zh-CN"/>
        </w:rPr>
      </w:pPr>
      <w:r w:rsidRPr="000F4604">
        <w:rPr>
          <w:rFonts w:eastAsia="SimSun" w:cs="Arial"/>
          <w:u w:val="single"/>
          <w:lang w:eastAsia="zh-CN"/>
        </w:rPr>
        <w:t>Sexual Orientation profile</w:t>
      </w:r>
    </w:p>
    <w:p w:rsidR="001A24E7" w:rsidRPr="009A2E09" w:rsidRDefault="001A24E7" w:rsidP="009A2E09">
      <w:pPr>
        <w:spacing w:after="0" w:line="240" w:lineRule="auto"/>
        <w:rPr>
          <w:rFonts w:cs="Arial"/>
          <w:color w:val="000000" w:themeColor="text1"/>
        </w:rPr>
      </w:pPr>
      <w:r w:rsidRPr="009A2E09">
        <w:rPr>
          <w:rFonts w:cs="Arial"/>
          <w:color w:val="000000" w:themeColor="text1"/>
        </w:rPr>
        <w:t>Disclosed LGB learners make up just 2% of the student population which is not reflective of the national population</w:t>
      </w:r>
      <w:r w:rsidR="00C94EC0" w:rsidRPr="009A2E09">
        <w:rPr>
          <w:rFonts w:cs="Arial"/>
          <w:color w:val="000000" w:themeColor="text1"/>
        </w:rPr>
        <w:t xml:space="preserve">. </w:t>
      </w:r>
      <w:r w:rsidRPr="009A2E09">
        <w:rPr>
          <w:rFonts w:cs="Arial"/>
          <w:color w:val="000000" w:themeColor="text1"/>
        </w:rPr>
        <w:t>29% of learners have either opted for the ‘prefer not say’ option or fall into the category of N/A.</w:t>
      </w:r>
    </w:p>
    <w:p w:rsidR="001A24E7" w:rsidRPr="009A2E09" w:rsidRDefault="00C94EC0" w:rsidP="009A2E09">
      <w:pPr>
        <w:spacing w:after="0" w:line="240" w:lineRule="auto"/>
        <w:rPr>
          <w:rFonts w:cs="Arial"/>
          <w:color w:val="000000" w:themeColor="text1"/>
        </w:rPr>
      </w:pPr>
      <w:r w:rsidRPr="009A2E09">
        <w:rPr>
          <w:rFonts w:cs="Arial"/>
          <w:color w:val="000000" w:themeColor="text1"/>
        </w:rPr>
        <w:t>Positively, t</w:t>
      </w:r>
      <w:r w:rsidR="001A24E7" w:rsidRPr="009A2E09">
        <w:rPr>
          <w:rFonts w:cs="Arial"/>
          <w:color w:val="000000" w:themeColor="text1"/>
        </w:rPr>
        <w:t>he gap between groups has narrowed from a 13% differential in 13/14 to 6% in 14/15</w:t>
      </w:r>
      <w:r w:rsidRPr="009A2E09">
        <w:rPr>
          <w:rFonts w:cs="Arial"/>
          <w:color w:val="000000" w:themeColor="text1"/>
        </w:rPr>
        <w:t>.</w:t>
      </w:r>
    </w:p>
    <w:p w:rsidR="00C94EC0" w:rsidRPr="009A2E09" w:rsidRDefault="001A24E7" w:rsidP="009A2E09">
      <w:pPr>
        <w:spacing w:after="0" w:line="240" w:lineRule="auto"/>
        <w:rPr>
          <w:rFonts w:cs="Arial"/>
          <w:color w:val="000000" w:themeColor="text1"/>
        </w:rPr>
      </w:pPr>
      <w:r w:rsidRPr="009A2E09">
        <w:rPr>
          <w:rFonts w:cs="Arial"/>
          <w:color w:val="000000" w:themeColor="text1"/>
        </w:rPr>
        <w:t>LGB learners record the lowest student success rates. However small numbers have</w:t>
      </w:r>
    </w:p>
    <w:p w:rsidR="001A24E7" w:rsidRPr="009A2E09" w:rsidRDefault="00C94EC0" w:rsidP="009A2E09">
      <w:pPr>
        <w:spacing w:after="0" w:line="240" w:lineRule="auto"/>
        <w:rPr>
          <w:rFonts w:cs="Arial"/>
          <w:u w:val="single"/>
        </w:rPr>
      </w:pPr>
      <w:r w:rsidRPr="009A2E09">
        <w:rPr>
          <w:rFonts w:cs="Arial"/>
          <w:color w:val="000000" w:themeColor="text1"/>
        </w:rPr>
        <w:t>i</w:t>
      </w:r>
      <w:r w:rsidR="001A24E7" w:rsidRPr="009A2E09">
        <w:rPr>
          <w:rFonts w:cs="Arial"/>
          <w:color w:val="000000" w:themeColor="text1"/>
        </w:rPr>
        <w:t>n many cases adversely affected rates.</w:t>
      </w:r>
    </w:p>
    <w:p w:rsidR="001A24E7" w:rsidRPr="000F4604" w:rsidRDefault="001A24E7" w:rsidP="00681CD4">
      <w:pPr>
        <w:spacing w:after="0" w:line="240" w:lineRule="auto"/>
        <w:jc w:val="both"/>
        <w:rPr>
          <w:rFonts w:eastAsia="SimSun" w:cs="Arial"/>
          <w:lang w:eastAsia="zh-CN"/>
        </w:rPr>
      </w:pPr>
    </w:p>
    <w:p w:rsidR="00C94EC0" w:rsidRPr="000F4604" w:rsidRDefault="00C94EC0" w:rsidP="00681CD4">
      <w:pPr>
        <w:spacing w:after="0" w:line="240" w:lineRule="auto"/>
        <w:jc w:val="both"/>
        <w:rPr>
          <w:rFonts w:eastAsia="SimSun" w:cs="Arial"/>
          <w:u w:val="single"/>
          <w:lang w:eastAsia="zh-CN"/>
        </w:rPr>
      </w:pPr>
    </w:p>
    <w:p w:rsidR="001A24E7" w:rsidRPr="000F4604" w:rsidRDefault="001A24E7" w:rsidP="00681CD4">
      <w:pPr>
        <w:spacing w:after="0" w:line="240" w:lineRule="auto"/>
        <w:jc w:val="both"/>
        <w:rPr>
          <w:rFonts w:eastAsia="SimSun" w:cs="Arial"/>
          <w:u w:val="single"/>
          <w:lang w:eastAsia="zh-CN"/>
        </w:rPr>
      </w:pPr>
      <w:r w:rsidRPr="000F4604">
        <w:rPr>
          <w:rFonts w:eastAsia="SimSun" w:cs="Arial"/>
          <w:u w:val="single"/>
          <w:lang w:eastAsia="zh-CN"/>
        </w:rPr>
        <w:t>Age profile</w:t>
      </w:r>
    </w:p>
    <w:p w:rsidR="001E3B13" w:rsidRPr="000F4604" w:rsidRDefault="001E3B13" w:rsidP="00681CD4">
      <w:pPr>
        <w:spacing w:after="0" w:line="240" w:lineRule="auto"/>
        <w:rPr>
          <w:rFonts w:cs="Arial"/>
        </w:rPr>
      </w:pPr>
      <w:r w:rsidRPr="000F4604">
        <w:rPr>
          <w:rFonts w:cs="Arial"/>
        </w:rPr>
        <w:t>One third of learners are aged between 16-18</w:t>
      </w:r>
      <w:r w:rsidR="00C94EC0" w:rsidRPr="000F4604">
        <w:rPr>
          <w:rFonts w:cs="Arial"/>
        </w:rPr>
        <w:t xml:space="preserve"> years.</w:t>
      </w:r>
    </w:p>
    <w:p w:rsidR="00E57CD7" w:rsidRDefault="001E3B13" w:rsidP="00681CD4">
      <w:pPr>
        <w:spacing w:after="0" w:line="240" w:lineRule="auto"/>
        <w:rPr>
          <w:rFonts w:cs="Arial"/>
        </w:rPr>
      </w:pPr>
      <w:r w:rsidRPr="000F4604">
        <w:rPr>
          <w:rFonts w:cs="Arial"/>
        </w:rPr>
        <w:t xml:space="preserve">19+ learners have success rates in most cases above college average and national rates. </w:t>
      </w:r>
    </w:p>
    <w:p w:rsidR="001E3B13" w:rsidRPr="000F4604" w:rsidRDefault="001E3B13" w:rsidP="00681CD4">
      <w:pPr>
        <w:spacing w:after="0" w:line="240" w:lineRule="auto"/>
        <w:rPr>
          <w:rFonts w:cs="Arial"/>
        </w:rPr>
      </w:pPr>
      <w:r w:rsidRPr="000F4604">
        <w:rPr>
          <w:rFonts w:cs="Arial"/>
        </w:rPr>
        <w:t xml:space="preserve">16-18 year learners success rates are adversely affected by retention rather than achievement rates. The gap, however, in success rates </w:t>
      </w:r>
      <w:r w:rsidR="00662BB6" w:rsidRPr="000F4604">
        <w:rPr>
          <w:rFonts w:cs="Arial"/>
        </w:rPr>
        <w:t>between age groups is</w:t>
      </w:r>
      <w:r w:rsidRPr="000F4604">
        <w:rPr>
          <w:rFonts w:cs="Arial"/>
        </w:rPr>
        <w:t xml:space="preserve"> narrowing</w:t>
      </w:r>
      <w:r w:rsidR="00662BB6" w:rsidRPr="000F4604">
        <w:rPr>
          <w:rFonts w:cs="Arial"/>
        </w:rPr>
        <w:t>.</w:t>
      </w:r>
    </w:p>
    <w:tbl>
      <w:tblPr>
        <w:tblpPr w:leftFromText="180" w:rightFromText="180" w:vertAnchor="page" w:horzAnchor="margin" w:tblpXSpec="center" w:tblpY="10621"/>
        <w:tblW w:w="8100" w:type="dxa"/>
        <w:tblLook w:val="04A0" w:firstRow="1" w:lastRow="0" w:firstColumn="1" w:lastColumn="0" w:noHBand="0" w:noVBand="1"/>
      </w:tblPr>
      <w:tblGrid>
        <w:gridCol w:w="1242"/>
        <w:gridCol w:w="2286"/>
        <w:gridCol w:w="2286"/>
        <w:gridCol w:w="2286"/>
      </w:tblGrid>
      <w:tr w:rsidR="009D3F05" w:rsidRPr="000F4604" w:rsidTr="00FA70DA">
        <w:trPr>
          <w:trHeight w:val="360"/>
        </w:trPr>
        <w:tc>
          <w:tcPr>
            <w:tcW w:w="1242"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D3F05" w:rsidRPr="00FA70DA" w:rsidRDefault="009D3F05" w:rsidP="00FA70DA">
            <w:pPr>
              <w:spacing w:after="0" w:line="240" w:lineRule="auto"/>
              <w:jc w:val="center"/>
              <w:rPr>
                <w:rFonts w:eastAsia="Times New Roman" w:cs="Arial"/>
                <w:b/>
                <w:color w:val="000000"/>
                <w:lang w:eastAsia="en-GB"/>
              </w:rPr>
            </w:pPr>
            <w:r w:rsidRPr="00FA70DA">
              <w:rPr>
                <w:rFonts w:eastAsia="Times New Roman" w:cs="Arial"/>
                <w:b/>
                <w:color w:val="000000"/>
                <w:lang w:eastAsia="en-GB"/>
              </w:rPr>
              <w:t>Age Group</w:t>
            </w:r>
          </w:p>
        </w:tc>
        <w:tc>
          <w:tcPr>
            <w:tcW w:w="2286" w:type="dxa"/>
            <w:tcBorders>
              <w:top w:val="single" w:sz="4" w:space="0" w:color="000000"/>
              <w:left w:val="single" w:sz="4" w:space="0" w:color="000000"/>
              <w:bottom w:val="single" w:sz="4" w:space="0" w:color="000000"/>
              <w:right w:val="nil"/>
            </w:tcBorders>
            <w:shd w:val="clear" w:color="FFFFFF" w:fill="FFFFFF"/>
            <w:vAlign w:val="center"/>
            <w:hideMark/>
          </w:tcPr>
          <w:p w:rsidR="009D3F05" w:rsidRPr="00FA70DA" w:rsidRDefault="009D3F05" w:rsidP="00FA70DA">
            <w:pPr>
              <w:spacing w:after="0" w:line="240" w:lineRule="auto"/>
              <w:jc w:val="center"/>
              <w:rPr>
                <w:rFonts w:eastAsia="Times New Roman" w:cs="Arial"/>
                <w:b/>
                <w:color w:val="000000"/>
                <w:lang w:eastAsia="en-GB"/>
              </w:rPr>
            </w:pPr>
            <w:r w:rsidRPr="00FA70DA">
              <w:rPr>
                <w:rFonts w:eastAsia="Times New Roman" w:cs="Arial"/>
                <w:b/>
                <w:color w:val="000000"/>
                <w:lang w:eastAsia="en-GB"/>
              </w:rPr>
              <w:t>12/13</w:t>
            </w:r>
          </w:p>
        </w:tc>
        <w:tc>
          <w:tcPr>
            <w:tcW w:w="2286" w:type="dxa"/>
            <w:tcBorders>
              <w:top w:val="single" w:sz="4" w:space="0" w:color="000000"/>
              <w:left w:val="nil"/>
              <w:bottom w:val="single" w:sz="4" w:space="0" w:color="000000"/>
              <w:right w:val="nil"/>
            </w:tcBorders>
            <w:shd w:val="clear" w:color="FFFFFF" w:fill="FFFFFF"/>
            <w:vAlign w:val="center"/>
            <w:hideMark/>
          </w:tcPr>
          <w:p w:rsidR="009D3F05" w:rsidRPr="00FA70DA" w:rsidRDefault="009D3F05" w:rsidP="00FA70DA">
            <w:pPr>
              <w:spacing w:after="0" w:line="240" w:lineRule="auto"/>
              <w:jc w:val="center"/>
              <w:rPr>
                <w:rFonts w:eastAsia="Times New Roman" w:cs="Arial"/>
                <w:b/>
                <w:color w:val="000000"/>
                <w:lang w:eastAsia="en-GB"/>
              </w:rPr>
            </w:pPr>
            <w:r w:rsidRPr="00FA70DA">
              <w:rPr>
                <w:rFonts w:eastAsia="Times New Roman" w:cs="Arial"/>
                <w:b/>
                <w:color w:val="000000"/>
                <w:lang w:eastAsia="en-GB"/>
              </w:rPr>
              <w:t>13/14</w:t>
            </w:r>
          </w:p>
        </w:tc>
        <w:tc>
          <w:tcPr>
            <w:tcW w:w="2286" w:type="dxa"/>
            <w:tcBorders>
              <w:top w:val="single" w:sz="4" w:space="0" w:color="000000"/>
              <w:left w:val="nil"/>
              <w:bottom w:val="single" w:sz="4" w:space="0" w:color="000000"/>
              <w:right w:val="single" w:sz="4" w:space="0" w:color="000000"/>
            </w:tcBorders>
            <w:shd w:val="clear" w:color="FFFFFF" w:fill="FFFFFF"/>
            <w:vAlign w:val="center"/>
            <w:hideMark/>
          </w:tcPr>
          <w:p w:rsidR="009D3F05" w:rsidRPr="00FA70DA" w:rsidRDefault="009D3F05" w:rsidP="00FA70DA">
            <w:pPr>
              <w:spacing w:after="0" w:line="240" w:lineRule="auto"/>
              <w:jc w:val="center"/>
              <w:rPr>
                <w:rFonts w:eastAsia="Times New Roman" w:cs="Arial"/>
                <w:b/>
                <w:color w:val="000000"/>
                <w:lang w:eastAsia="en-GB"/>
              </w:rPr>
            </w:pPr>
            <w:r w:rsidRPr="00FA70DA">
              <w:rPr>
                <w:rFonts w:eastAsia="Times New Roman" w:cs="Arial"/>
                <w:b/>
                <w:color w:val="000000"/>
                <w:lang w:eastAsia="en-GB"/>
              </w:rPr>
              <w:t>14/15</w:t>
            </w:r>
          </w:p>
        </w:tc>
      </w:tr>
      <w:tr w:rsidR="009D3F05" w:rsidRPr="000F4604" w:rsidTr="00FA70DA">
        <w:trPr>
          <w:trHeight w:val="300"/>
        </w:trPr>
        <w:tc>
          <w:tcPr>
            <w:tcW w:w="1242" w:type="dxa"/>
            <w:tcBorders>
              <w:top w:val="nil"/>
              <w:left w:val="single" w:sz="4" w:space="0" w:color="000000"/>
              <w:bottom w:val="nil"/>
              <w:right w:val="single" w:sz="4" w:space="0" w:color="000000"/>
            </w:tcBorders>
            <w:shd w:val="clear" w:color="FFFFFF" w:fill="FFFFFF"/>
            <w:vAlign w:val="center"/>
            <w:hideMark/>
          </w:tcPr>
          <w:p w:rsidR="009D3F05" w:rsidRPr="000F4604" w:rsidRDefault="009D3F05" w:rsidP="00FA70DA">
            <w:pPr>
              <w:spacing w:after="0" w:line="240" w:lineRule="auto"/>
              <w:jc w:val="center"/>
              <w:rPr>
                <w:rFonts w:eastAsia="Times New Roman" w:cs="Arial"/>
                <w:color w:val="000000"/>
                <w:lang w:eastAsia="en-GB"/>
              </w:rPr>
            </w:pPr>
            <w:r w:rsidRPr="000F4604">
              <w:rPr>
                <w:rFonts w:eastAsia="Times New Roman" w:cs="Arial"/>
                <w:color w:val="000000"/>
                <w:lang w:eastAsia="en-GB"/>
              </w:rPr>
              <w:t>16 - 18</w:t>
            </w:r>
          </w:p>
        </w:tc>
        <w:tc>
          <w:tcPr>
            <w:tcW w:w="2286" w:type="dxa"/>
            <w:tcBorders>
              <w:top w:val="single" w:sz="4" w:space="0" w:color="000000"/>
              <w:left w:val="single" w:sz="4" w:space="0" w:color="000000"/>
              <w:bottom w:val="nil"/>
              <w:right w:val="nil"/>
            </w:tcBorders>
            <w:shd w:val="clear" w:color="99CCFF" w:fill="ECF1F8"/>
            <w:vAlign w:val="center"/>
            <w:hideMark/>
          </w:tcPr>
          <w:p w:rsidR="009D3F05" w:rsidRPr="000F4604" w:rsidRDefault="009D3F05" w:rsidP="00FA70DA">
            <w:pPr>
              <w:spacing w:after="0" w:line="240" w:lineRule="auto"/>
              <w:jc w:val="center"/>
              <w:rPr>
                <w:rFonts w:eastAsia="Times New Roman" w:cs="Arial"/>
                <w:color w:val="000000"/>
                <w:lang w:eastAsia="en-GB"/>
              </w:rPr>
            </w:pPr>
            <w:r w:rsidRPr="000F4604">
              <w:rPr>
                <w:rFonts w:eastAsia="Times New Roman" w:cs="Arial"/>
                <w:color w:val="000000"/>
                <w:lang w:eastAsia="en-GB"/>
              </w:rPr>
              <w:t>11,781</w:t>
            </w:r>
          </w:p>
        </w:tc>
        <w:tc>
          <w:tcPr>
            <w:tcW w:w="2286" w:type="dxa"/>
            <w:tcBorders>
              <w:top w:val="single" w:sz="4" w:space="0" w:color="000000"/>
              <w:left w:val="nil"/>
              <w:bottom w:val="nil"/>
              <w:right w:val="nil"/>
            </w:tcBorders>
            <w:shd w:val="clear" w:color="99CCFF" w:fill="ECF1F8"/>
            <w:vAlign w:val="center"/>
            <w:hideMark/>
          </w:tcPr>
          <w:p w:rsidR="009D3F05" w:rsidRPr="000F4604" w:rsidRDefault="009D3F05" w:rsidP="00FA70DA">
            <w:pPr>
              <w:spacing w:after="0" w:line="240" w:lineRule="auto"/>
              <w:jc w:val="center"/>
              <w:rPr>
                <w:rFonts w:eastAsia="Times New Roman" w:cs="Arial"/>
                <w:color w:val="000000"/>
                <w:lang w:eastAsia="en-GB"/>
              </w:rPr>
            </w:pPr>
            <w:r w:rsidRPr="000F4604">
              <w:rPr>
                <w:rFonts w:eastAsia="Times New Roman" w:cs="Arial"/>
                <w:color w:val="000000"/>
                <w:lang w:eastAsia="en-GB"/>
              </w:rPr>
              <w:t>8,676</w:t>
            </w:r>
          </w:p>
        </w:tc>
        <w:tc>
          <w:tcPr>
            <w:tcW w:w="2286" w:type="dxa"/>
            <w:tcBorders>
              <w:top w:val="single" w:sz="4" w:space="0" w:color="000000"/>
              <w:left w:val="nil"/>
              <w:bottom w:val="nil"/>
              <w:right w:val="single" w:sz="4" w:space="0" w:color="000000"/>
            </w:tcBorders>
            <w:shd w:val="clear" w:color="99CCFF" w:fill="ECF1F8"/>
            <w:vAlign w:val="center"/>
            <w:hideMark/>
          </w:tcPr>
          <w:p w:rsidR="009D3F05" w:rsidRPr="000F4604" w:rsidRDefault="009D3F05" w:rsidP="00FA70DA">
            <w:pPr>
              <w:spacing w:after="0" w:line="240" w:lineRule="auto"/>
              <w:jc w:val="center"/>
              <w:rPr>
                <w:rFonts w:eastAsia="Times New Roman" w:cs="Arial"/>
                <w:color w:val="000000"/>
                <w:lang w:eastAsia="en-GB"/>
              </w:rPr>
            </w:pPr>
            <w:r w:rsidRPr="000F4604">
              <w:rPr>
                <w:rFonts w:eastAsia="Times New Roman" w:cs="Arial"/>
                <w:color w:val="000000"/>
                <w:lang w:eastAsia="en-GB"/>
              </w:rPr>
              <w:t>7,378</w:t>
            </w:r>
          </w:p>
        </w:tc>
      </w:tr>
      <w:tr w:rsidR="009D3F05" w:rsidRPr="000F4604" w:rsidTr="00FA70DA">
        <w:trPr>
          <w:trHeight w:val="300"/>
        </w:trPr>
        <w:tc>
          <w:tcPr>
            <w:tcW w:w="1242" w:type="dxa"/>
            <w:tcBorders>
              <w:top w:val="nil"/>
              <w:left w:val="single" w:sz="4" w:space="0" w:color="000000"/>
              <w:bottom w:val="nil"/>
              <w:right w:val="single" w:sz="4" w:space="0" w:color="000000"/>
            </w:tcBorders>
            <w:shd w:val="clear" w:color="FFFFFF" w:fill="FFFFFF"/>
            <w:vAlign w:val="center"/>
            <w:hideMark/>
          </w:tcPr>
          <w:p w:rsidR="009D3F05" w:rsidRPr="000F4604" w:rsidRDefault="009D3F05" w:rsidP="00FA70DA">
            <w:pPr>
              <w:spacing w:after="0" w:line="240" w:lineRule="auto"/>
              <w:jc w:val="center"/>
              <w:rPr>
                <w:rFonts w:eastAsia="Times New Roman" w:cs="Arial"/>
                <w:color w:val="000000"/>
                <w:lang w:eastAsia="en-GB"/>
              </w:rPr>
            </w:pPr>
            <w:r w:rsidRPr="000F4604">
              <w:rPr>
                <w:rFonts w:eastAsia="Times New Roman" w:cs="Arial"/>
                <w:color w:val="000000"/>
                <w:lang w:eastAsia="en-GB"/>
              </w:rPr>
              <w:t>19+</w:t>
            </w:r>
          </w:p>
        </w:tc>
        <w:tc>
          <w:tcPr>
            <w:tcW w:w="2286" w:type="dxa"/>
            <w:tcBorders>
              <w:top w:val="nil"/>
              <w:left w:val="single" w:sz="4" w:space="0" w:color="000000"/>
              <w:bottom w:val="nil"/>
              <w:right w:val="nil"/>
            </w:tcBorders>
            <w:shd w:val="clear" w:color="99CCFF" w:fill="ECF1F8"/>
            <w:vAlign w:val="center"/>
            <w:hideMark/>
          </w:tcPr>
          <w:p w:rsidR="009D3F05" w:rsidRPr="000F4604" w:rsidRDefault="009D3F05" w:rsidP="00FA70DA">
            <w:pPr>
              <w:spacing w:after="0" w:line="240" w:lineRule="auto"/>
              <w:jc w:val="center"/>
              <w:rPr>
                <w:rFonts w:eastAsia="Times New Roman" w:cs="Arial"/>
                <w:color w:val="000000"/>
                <w:lang w:eastAsia="en-GB"/>
              </w:rPr>
            </w:pPr>
          </w:p>
          <w:p w:rsidR="009D3F05" w:rsidRPr="000F4604" w:rsidRDefault="009D3F05" w:rsidP="00FA70DA">
            <w:pPr>
              <w:spacing w:after="0" w:line="240" w:lineRule="auto"/>
              <w:jc w:val="center"/>
              <w:rPr>
                <w:rFonts w:eastAsia="Times New Roman" w:cs="Arial"/>
                <w:color w:val="000000"/>
                <w:lang w:eastAsia="en-GB"/>
              </w:rPr>
            </w:pPr>
            <w:r w:rsidRPr="000F4604">
              <w:rPr>
                <w:rFonts w:eastAsia="Times New Roman" w:cs="Arial"/>
                <w:color w:val="000000"/>
                <w:lang w:eastAsia="en-GB"/>
              </w:rPr>
              <w:t>23,865</w:t>
            </w:r>
          </w:p>
          <w:p w:rsidR="009D3F05" w:rsidRPr="000F4604" w:rsidRDefault="009D3F05" w:rsidP="00FA70DA">
            <w:pPr>
              <w:spacing w:after="0" w:line="240" w:lineRule="auto"/>
              <w:jc w:val="center"/>
              <w:rPr>
                <w:rFonts w:eastAsia="Times New Roman" w:cs="Arial"/>
                <w:color w:val="000000"/>
                <w:lang w:eastAsia="en-GB"/>
              </w:rPr>
            </w:pPr>
          </w:p>
        </w:tc>
        <w:tc>
          <w:tcPr>
            <w:tcW w:w="2286" w:type="dxa"/>
            <w:tcBorders>
              <w:top w:val="nil"/>
              <w:left w:val="nil"/>
              <w:bottom w:val="nil"/>
              <w:right w:val="nil"/>
            </w:tcBorders>
            <w:shd w:val="clear" w:color="99CCFF" w:fill="ECF1F8"/>
            <w:vAlign w:val="center"/>
            <w:hideMark/>
          </w:tcPr>
          <w:p w:rsidR="009D3F05" w:rsidRPr="000F4604" w:rsidRDefault="009D3F05" w:rsidP="00FA70DA">
            <w:pPr>
              <w:spacing w:after="0" w:line="240" w:lineRule="auto"/>
              <w:jc w:val="center"/>
              <w:rPr>
                <w:rFonts w:eastAsia="Times New Roman" w:cs="Arial"/>
                <w:color w:val="000000"/>
                <w:lang w:eastAsia="en-GB"/>
              </w:rPr>
            </w:pPr>
            <w:r w:rsidRPr="000F4604">
              <w:rPr>
                <w:rFonts w:eastAsia="Times New Roman" w:cs="Arial"/>
                <w:color w:val="000000"/>
                <w:lang w:eastAsia="en-GB"/>
              </w:rPr>
              <w:t>19,575</w:t>
            </w:r>
          </w:p>
        </w:tc>
        <w:tc>
          <w:tcPr>
            <w:tcW w:w="2286" w:type="dxa"/>
            <w:tcBorders>
              <w:top w:val="nil"/>
              <w:left w:val="nil"/>
              <w:bottom w:val="nil"/>
              <w:right w:val="single" w:sz="4" w:space="0" w:color="000000"/>
            </w:tcBorders>
            <w:shd w:val="clear" w:color="99CCFF" w:fill="ECF1F8"/>
            <w:vAlign w:val="center"/>
            <w:hideMark/>
          </w:tcPr>
          <w:p w:rsidR="009D3F05" w:rsidRPr="000F4604" w:rsidRDefault="009D3F05" w:rsidP="00FA70DA">
            <w:pPr>
              <w:spacing w:after="0" w:line="240" w:lineRule="auto"/>
              <w:jc w:val="center"/>
              <w:rPr>
                <w:rFonts w:eastAsia="Times New Roman" w:cs="Arial"/>
                <w:color w:val="000000"/>
                <w:lang w:eastAsia="en-GB"/>
              </w:rPr>
            </w:pPr>
            <w:r w:rsidRPr="000F4604">
              <w:rPr>
                <w:rFonts w:eastAsia="Times New Roman" w:cs="Arial"/>
                <w:color w:val="000000"/>
                <w:lang w:eastAsia="en-GB"/>
              </w:rPr>
              <w:t>15,664</w:t>
            </w:r>
          </w:p>
        </w:tc>
      </w:tr>
      <w:tr w:rsidR="009D3F05" w:rsidRPr="000F4604" w:rsidTr="00FA70DA">
        <w:trPr>
          <w:trHeight w:val="300"/>
        </w:trPr>
        <w:tc>
          <w:tcPr>
            <w:tcW w:w="1242"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D3F05" w:rsidRPr="000F4604" w:rsidRDefault="009D3F05" w:rsidP="00FA70DA">
            <w:pPr>
              <w:spacing w:after="0" w:line="240" w:lineRule="auto"/>
              <w:jc w:val="center"/>
              <w:rPr>
                <w:rFonts w:eastAsia="Times New Roman" w:cs="Arial"/>
                <w:color w:val="000000"/>
                <w:lang w:eastAsia="en-GB"/>
              </w:rPr>
            </w:pPr>
            <w:r w:rsidRPr="000F4604">
              <w:rPr>
                <w:rFonts w:eastAsia="Times New Roman" w:cs="Arial"/>
                <w:color w:val="000000"/>
                <w:lang w:eastAsia="en-GB"/>
              </w:rPr>
              <w:t>Total</w:t>
            </w:r>
          </w:p>
        </w:tc>
        <w:tc>
          <w:tcPr>
            <w:tcW w:w="2286" w:type="dxa"/>
            <w:tcBorders>
              <w:top w:val="single" w:sz="4" w:space="0" w:color="000000"/>
              <w:left w:val="single" w:sz="4" w:space="0" w:color="000000"/>
              <w:bottom w:val="single" w:sz="4" w:space="0" w:color="000000"/>
              <w:right w:val="nil"/>
            </w:tcBorders>
            <w:shd w:val="clear" w:color="99CCFF" w:fill="ECF1F8"/>
            <w:vAlign w:val="center"/>
            <w:hideMark/>
          </w:tcPr>
          <w:p w:rsidR="009D3F05" w:rsidRPr="000F4604" w:rsidRDefault="009D3F05" w:rsidP="00FA70DA">
            <w:pPr>
              <w:spacing w:after="0" w:line="240" w:lineRule="auto"/>
              <w:jc w:val="center"/>
              <w:rPr>
                <w:rFonts w:eastAsia="Times New Roman" w:cs="Arial"/>
                <w:color w:val="000000"/>
                <w:lang w:eastAsia="en-GB"/>
              </w:rPr>
            </w:pPr>
            <w:r w:rsidRPr="000F4604">
              <w:rPr>
                <w:rFonts w:eastAsia="Times New Roman" w:cs="Arial"/>
                <w:color w:val="000000"/>
                <w:lang w:eastAsia="en-GB"/>
              </w:rPr>
              <w:t>35,646</w:t>
            </w:r>
          </w:p>
        </w:tc>
        <w:tc>
          <w:tcPr>
            <w:tcW w:w="2286" w:type="dxa"/>
            <w:tcBorders>
              <w:top w:val="single" w:sz="4" w:space="0" w:color="000000"/>
              <w:left w:val="nil"/>
              <w:bottom w:val="single" w:sz="4" w:space="0" w:color="000000"/>
              <w:right w:val="nil"/>
            </w:tcBorders>
            <w:shd w:val="clear" w:color="99CCFF" w:fill="ECF1F8"/>
            <w:vAlign w:val="center"/>
            <w:hideMark/>
          </w:tcPr>
          <w:p w:rsidR="009D3F05" w:rsidRPr="000F4604" w:rsidRDefault="009D3F05" w:rsidP="00FA70DA">
            <w:pPr>
              <w:spacing w:after="0" w:line="240" w:lineRule="auto"/>
              <w:jc w:val="center"/>
              <w:rPr>
                <w:rFonts w:eastAsia="Times New Roman" w:cs="Arial"/>
                <w:color w:val="000000"/>
                <w:lang w:eastAsia="en-GB"/>
              </w:rPr>
            </w:pPr>
            <w:r w:rsidRPr="000F4604">
              <w:rPr>
                <w:rFonts w:eastAsia="Times New Roman" w:cs="Arial"/>
                <w:color w:val="000000"/>
                <w:lang w:eastAsia="en-GB"/>
              </w:rPr>
              <w:t>28,251</w:t>
            </w:r>
          </w:p>
        </w:tc>
        <w:tc>
          <w:tcPr>
            <w:tcW w:w="2286" w:type="dxa"/>
            <w:tcBorders>
              <w:top w:val="single" w:sz="4" w:space="0" w:color="000000"/>
              <w:left w:val="nil"/>
              <w:bottom w:val="single" w:sz="4" w:space="0" w:color="000000"/>
              <w:right w:val="single" w:sz="4" w:space="0" w:color="000000"/>
            </w:tcBorders>
            <w:shd w:val="clear" w:color="99CCFF" w:fill="ECF1F8"/>
            <w:vAlign w:val="center"/>
            <w:hideMark/>
          </w:tcPr>
          <w:p w:rsidR="009D3F05" w:rsidRPr="000F4604" w:rsidRDefault="009D3F05" w:rsidP="00FA70DA">
            <w:pPr>
              <w:spacing w:after="0" w:line="240" w:lineRule="auto"/>
              <w:jc w:val="center"/>
              <w:rPr>
                <w:rFonts w:eastAsia="Times New Roman" w:cs="Arial"/>
                <w:color w:val="000000"/>
                <w:lang w:eastAsia="en-GB"/>
              </w:rPr>
            </w:pPr>
            <w:r w:rsidRPr="000F4604">
              <w:rPr>
                <w:rFonts w:eastAsia="Times New Roman" w:cs="Arial"/>
                <w:color w:val="000000"/>
                <w:lang w:eastAsia="en-GB"/>
              </w:rPr>
              <w:t>23,042</w:t>
            </w:r>
          </w:p>
        </w:tc>
      </w:tr>
    </w:tbl>
    <w:p w:rsidR="001E3B13" w:rsidRPr="000F4604" w:rsidRDefault="001E3B13" w:rsidP="00681CD4">
      <w:pPr>
        <w:spacing w:after="0" w:line="240" w:lineRule="auto"/>
        <w:rPr>
          <w:rFonts w:cs="Arial"/>
        </w:rPr>
      </w:pPr>
    </w:p>
    <w:p w:rsidR="00E57CD7" w:rsidRDefault="00E57CD7" w:rsidP="00681CD4">
      <w:pPr>
        <w:spacing w:after="0" w:line="240" w:lineRule="auto"/>
        <w:jc w:val="both"/>
        <w:rPr>
          <w:rFonts w:eastAsia="SimSun" w:cs="Arial"/>
          <w:u w:val="single"/>
          <w:lang w:eastAsia="zh-CN"/>
        </w:rPr>
      </w:pPr>
    </w:p>
    <w:p w:rsidR="001A24E7" w:rsidRPr="000F4604" w:rsidRDefault="001A24E7" w:rsidP="00681CD4">
      <w:pPr>
        <w:spacing w:after="0" w:line="240" w:lineRule="auto"/>
        <w:jc w:val="both"/>
        <w:rPr>
          <w:rFonts w:eastAsia="SimSun" w:cs="Arial"/>
          <w:u w:val="single"/>
          <w:lang w:eastAsia="zh-CN"/>
        </w:rPr>
      </w:pPr>
      <w:r w:rsidRPr="000F4604">
        <w:rPr>
          <w:rFonts w:eastAsia="SimSun" w:cs="Arial"/>
          <w:u w:val="single"/>
          <w:lang w:eastAsia="zh-CN"/>
        </w:rPr>
        <w:t>Religion and Belief profile</w:t>
      </w:r>
    </w:p>
    <w:p w:rsidR="009409E8" w:rsidRDefault="009409E8" w:rsidP="00681CD4">
      <w:pPr>
        <w:spacing w:after="0" w:line="240" w:lineRule="auto"/>
        <w:rPr>
          <w:rFonts w:cs="Arial"/>
        </w:rPr>
      </w:pPr>
      <w:r w:rsidRPr="000F4604">
        <w:rPr>
          <w:rFonts w:cs="Arial"/>
        </w:rPr>
        <w:t>One third of lea</w:t>
      </w:r>
      <w:r w:rsidR="00662BB6" w:rsidRPr="000F4604">
        <w:rPr>
          <w:rFonts w:cs="Arial"/>
        </w:rPr>
        <w:t>r</w:t>
      </w:r>
      <w:r w:rsidRPr="000F4604">
        <w:rPr>
          <w:rFonts w:cs="Arial"/>
        </w:rPr>
        <w:t>ners in 2014-2015 identified their religion</w:t>
      </w:r>
      <w:r w:rsidR="00577362" w:rsidRPr="000F4604">
        <w:rPr>
          <w:rFonts w:cs="Arial"/>
        </w:rPr>
        <w:t xml:space="preserve"> or belief</w:t>
      </w:r>
      <w:r w:rsidRPr="000F4604">
        <w:rPr>
          <w:rFonts w:cs="Arial"/>
        </w:rPr>
        <w:t xml:space="preserve"> as Christian. Atheist learners are recorded as the second largest group (22%) followed by Muslim learners (9%) and Agnostic learners (8%).</w:t>
      </w:r>
    </w:p>
    <w:p w:rsidR="00E57CD7" w:rsidRPr="000F4604" w:rsidRDefault="00E57CD7" w:rsidP="00681CD4">
      <w:pPr>
        <w:spacing w:after="0" w:line="240" w:lineRule="auto"/>
        <w:rPr>
          <w:rFonts w:cs="Arial"/>
        </w:rPr>
      </w:pPr>
    </w:p>
    <w:p w:rsidR="009409E8" w:rsidRPr="000F4604" w:rsidRDefault="009409E8" w:rsidP="00681CD4">
      <w:pPr>
        <w:spacing w:after="0" w:line="240" w:lineRule="auto"/>
        <w:rPr>
          <w:rFonts w:cs="Arial"/>
        </w:rPr>
      </w:pPr>
      <w:r w:rsidRPr="000F4604">
        <w:rPr>
          <w:rFonts w:cs="Arial"/>
        </w:rPr>
        <w:t>The gap in success rates between groups has widened since 13/14. However small numbers in many groups affect percentages</w:t>
      </w:r>
      <w:r w:rsidR="00577362" w:rsidRPr="000F4604">
        <w:rPr>
          <w:rFonts w:cs="Arial"/>
        </w:rPr>
        <w:t>,</w:t>
      </w:r>
      <w:r w:rsidRPr="000F4604">
        <w:rPr>
          <w:rFonts w:cs="Arial"/>
        </w:rPr>
        <w:t xml:space="preserve"> for example</w:t>
      </w:r>
      <w:r w:rsidR="00577362" w:rsidRPr="000F4604">
        <w:rPr>
          <w:rFonts w:cs="Arial"/>
        </w:rPr>
        <w:t>,</w:t>
      </w:r>
      <w:r w:rsidRPr="000F4604">
        <w:rPr>
          <w:rFonts w:cs="Arial"/>
        </w:rPr>
        <w:t xml:space="preserve"> 28 Jewish, 106 Hindu and 118 Buddhist.</w:t>
      </w:r>
    </w:p>
    <w:p w:rsidR="001A24E7" w:rsidRPr="000F4604" w:rsidRDefault="001A24E7" w:rsidP="00681CD4">
      <w:pPr>
        <w:spacing w:after="0" w:line="240" w:lineRule="auto"/>
        <w:jc w:val="both"/>
        <w:rPr>
          <w:rFonts w:cs="Arial"/>
        </w:rPr>
      </w:pPr>
    </w:p>
    <w:p w:rsidR="009E044B" w:rsidRDefault="009E044B" w:rsidP="00681CD4">
      <w:pPr>
        <w:spacing w:after="0" w:line="240" w:lineRule="auto"/>
        <w:jc w:val="both"/>
        <w:rPr>
          <w:rFonts w:cs="Arial"/>
        </w:rPr>
      </w:pPr>
    </w:p>
    <w:p w:rsidR="009D3F05" w:rsidRPr="000F4604" w:rsidRDefault="009D3F05" w:rsidP="00681CD4">
      <w:pPr>
        <w:spacing w:after="0" w:line="240" w:lineRule="auto"/>
        <w:jc w:val="both"/>
        <w:rPr>
          <w:rFonts w:cs="Arial"/>
        </w:rPr>
      </w:pPr>
    </w:p>
    <w:p w:rsidR="000318D4" w:rsidRPr="000F4604" w:rsidRDefault="001B4485" w:rsidP="00681CD4">
      <w:pPr>
        <w:spacing w:after="0" w:line="240" w:lineRule="auto"/>
        <w:jc w:val="both"/>
        <w:rPr>
          <w:rFonts w:cs="Arial"/>
          <w:b/>
        </w:rPr>
      </w:pPr>
      <w:r w:rsidRPr="000F4604">
        <w:rPr>
          <w:rFonts w:cs="Arial"/>
          <w:b/>
        </w:rPr>
        <w:t>10</w:t>
      </w:r>
      <w:r w:rsidR="000318D4" w:rsidRPr="000F4604">
        <w:rPr>
          <w:rFonts w:cs="Arial"/>
          <w:b/>
        </w:rPr>
        <w:t xml:space="preserve">.  Actions of EDI </w:t>
      </w:r>
      <w:r w:rsidR="009A2E09">
        <w:rPr>
          <w:rFonts w:cs="Arial"/>
          <w:b/>
        </w:rPr>
        <w:t>last year</w:t>
      </w:r>
    </w:p>
    <w:p w:rsidR="00EA4F0B" w:rsidRPr="000F4604" w:rsidRDefault="00FE543F" w:rsidP="00681CD4">
      <w:pPr>
        <w:spacing w:after="0" w:line="240" w:lineRule="auto"/>
        <w:jc w:val="both"/>
        <w:rPr>
          <w:rFonts w:cs="Arial"/>
        </w:rPr>
      </w:pPr>
      <w:r w:rsidRPr="000F4604">
        <w:rPr>
          <w:rFonts w:cs="Arial"/>
        </w:rPr>
        <w:t>In 201</w:t>
      </w:r>
      <w:r w:rsidR="00567BE1" w:rsidRPr="000F4604">
        <w:rPr>
          <w:rFonts w:cs="Arial"/>
        </w:rPr>
        <w:t>5</w:t>
      </w:r>
      <w:r w:rsidR="00692E69" w:rsidRPr="000F4604">
        <w:rPr>
          <w:rFonts w:cs="Arial"/>
        </w:rPr>
        <w:t>,</w:t>
      </w:r>
      <w:r w:rsidRPr="000F4604">
        <w:rPr>
          <w:rFonts w:cs="Arial"/>
        </w:rPr>
        <w:t xml:space="preserve"> t</w:t>
      </w:r>
      <w:r w:rsidR="000318D4" w:rsidRPr="000F4604">
        <w:rPr>
          <w:rFonts w:cs="Arial"/>
        </w:rPr>
        <w:t xml:space="preserve">he EDI </w:t>
      </w:r>
      <w:r w:rsidR="009A2E09">
        <w:rPr>
          <w:rFonts w:cs="Arial"/>
        </w:rPr>
        <w:t>Advisor</w:t>
      </w:r>
      <w:r w:rsidR="000318D4" w:rsidRPr="000F4604">
        <w:rPr>
          <w:rFonts w:cs="Arial"/>
        </w:rPr>
        <w:t xml:space="preserve"> continue</w:t>
      </w:r>
      <w:r w:rsidR="00544BC1" w:rsidRPr="000F4604">
        <w:rPr>
          <w:rFonts w:cs="Arial"/>
        </w:rPr>
        <w:t>d</w:t>
      </w:r>
      <w:r w:rsidR="000318D4" w:rsidRPr="000F4604">
        <w:rPr>
          <w:rFonts w:cs="Arial"/>
        </w:rPr>
        <w:t xml:space="preserve"> to rais</w:t>
      </w:r>
      <w:r w:rsidR="00544BC1" w:rsidRPr="000F4604">
        <w:rPr>
          <w:rFonts w:cs="Arial"/>
        </w:rPr>
        <w:t>e</w:t>
      </w:r>
      <w:r w:rsidR="000318D4" w:rsidRPr="000F4604">
        <w:rPr>
          <w:rFonts w:cs="Arial"/>
        </w:rPr>
        <w:t xml:space="preserve"> awareness of EDI matters, maintain legislative </w:t>
      </w:r>
      <w:r w:rsidRPr="000F4604">
        <w:rPr>
          <w:rFonts w:cs="Arial"/>
        </w:rPr>
        <w:t>compliance</w:t>
      </w:r>
      <w:r w:rsidR="000318D4" w:rsidRPr="000F4604">
        <w:rPr>
          <w:rFonts w:cs="Arial"/>
        </w:rPr>
        <w:t xml:space="preserve"> and</w:t>
      </w:r>
      <w:r w:rsidR="00544BC1" w:rsidRPr="000F4604">
        <w:rPr>
          <w:rFonts w:cs="Arial"/>
        </w:rPr>
        <w:t>,</w:t>
      </w:r>
      <w:r w:rsidR="000318D4" w:rsidRPr="000F4604">
        <w:rPr>
          <w:rFonts w:cs="Arial"/>
        </w:rPr>
        <w:t xml:space="preserve"> </w:t>
      </w:r>
      <w:r w:rsidR="001E1113" w:rsidRPr="000F4604">
        <w:rPr>
          <w:rFonts w:cs="Arial"/>
        </w:rPr>
        <w:t xml:space="preserve">using </w:t>
      </w:r>
      <w:r w:rsidR="000318D4" w:rsidRPr="000F4604">
        <w:rPr>
          <w:rFonts w:cs="Arial"/>
        </w:rPr>
        <w:t>collaborative working strategies</w:t>
      </w:r>
      <w:r w:rsidR="00544BC1" w:rsidRPr="000F4604">
        <w:rPr>
          <w:rFonts w:cs="Arial"/>
        </w:rPr>
        <w:t>,</w:t>
      </w:r>
      <w:r w:rsidR="000318D4" w:rsidRPr="000F4604">
        <w:rPr>
          <w:rFonts w:cs="Arial"/>
        </w:rPr>
        <w:t xml:space="preserve"> engage </w:t>
      </w:r>
      <w:r w:rsidR="00DF665E" w:rsidRPr="000F4604">
        <w:rPr>
          <w:rFonts w:cs="Arial"/>
        </w:rPr>
        <w:t xml:space="preserve">and develop </w:t>
      </w:r>
      <w:r w:rsidR="000318D4" w:rsidRPr="000F4604">
        <w:rPr>
          <w:rFonts w:cs="Arial"/>
        </w:rPr>
        <w:t>staff</w:t>
      </w:r>
      <w:r w:rsidR="00DF665E" w:rsidRPr="000F4604">
        <w:rPr>
          <w:rFonts w:cs="Arial"/>
        </w:rPr>
        <w:t xml:space="preserve"> and</w:t>
      </w:r>
      <w:r w:rsidR="000318D4" w:rsidRPr="000F4604">
        <w:rPr>
          <w:rFonts w:cs="Arial"/>
        </w:rPr>
        <w:t xml:space="preserve"> learners to </w:t>
      </w:r>
      <w:r w:rsidR="0005031A" w:rsidRPr="000F4604">
        <w:rPr>
          <w:rFonts w:cs="Arial"/>
        </w:rPr>
        <w:t>advance</w:t>
      </w:r>
      <w:r w:rsidR="000318D4" w:rsidRPr="000F4604">
        <w:rPr>
          <w:rFonts w:cs="Arial"/>
        </w:rPr>
        <w:t xml:space="preserve"> equality, </w:t>
      </w:r>
      <w:r w:rsidRPr="000F4604">
        <w:rPr>
          <w:rFonts w:cs="Arial"/>
        </w:rPr>
        <w:t>eliminate</w:t>
      </w:r>
      <w:r w:rsidR="000318D4" w:rsidRPr="000F4604">
        <w:rPr>
          <w:rFonts w:cs="Arial"/>
        </w:rPr>
        <w:t xml:space="preserve"> discrimination and celebrat</w:t>
      </w:r>
      <w:r w:rsidR="00DF665E" w:rsidRPr="000F4604">
        <w:rPr>
          <w:rFonts w:cs="Arial"/>
        </w:rPr>
        <w:t xml:space="preserve">e </w:t>
      </w:r>
      <w:r w:rsidR="000318D4" w:rsidRPr="000F4604">
        <w:rPr>
          <w:rFonts w:cs="Arial"/>
        </w:rPr>
        <w:t xml:space="preserve">diversity.  </w:t>
      </w:r>
      <w:r w:rsidR="00EA4F0B" w:rsidRPr="000F4604">
        <w:rPr>
          <w:rFonts w:cs="Arial"/>
        </w:rPr>
        <w:t>The EDI advisor worked collaboratively with staff at all levels and in all role types, to strengthen the skills and confidence of teachers to embrace and embed EDI in teaching and learning.</w:t>
      </w:r>
    </w:p>
    <w:p w:rsidR="00EA4F0B" w:rsidRPr="000F4604" w:rsidRDefault="00EA4F0B" w:rsidP="00681CD4">
      <w:pPr>
        <w:spacing w:after="0" w:line="240" w:lineRule="auto"/>
        <w:rPr>
          <w:rFonts w:cs="Arial"/>
        </w:rPr>
      </w:pPr>
    </w:p>
    <w:p w:rsidR="00EA4F0B" w:rsidRPr="000F4604" w:rsidRDefault="00EA4F0B" w:rsidP="00681CD4">
      <w:pPr>
        <w:spacing w:after="0" w:line="240" w:lineRule="auto"/>
        <w:rPr>
          <w:rFonts w:cs="Arial"/>
        </w:rPr>
      </w:pPr>
      <w:r w:rsidRPr="000F4604">
        <w:rPr>
          <w:rFonts w:cs="Arial"/>
        </w:rPr>
        <w:t>EDI has continued to be responsive to a wide range of enquiries in response, in many instances, to changing circumstances</w:t>
      </w:r>
      <w:r w:rsidR="009A2E09">
        <w:rPr>
          <w:rFonts w:cs="Arial"/>
        </w:rPr>
        <w:t>,</w:t>
      </w:r>
      <w:r w:rsidRPr="000F4604">
        <w:rPr>
          <w:rFonts w:cs="Arial"/>
        </w:rPr>
        <w:t xml:space="preserve"> for example providing advice and guidance on trans issues in light of an increase in disclosures;  balancing safeguarding and security and cultural and religious needs for example exploring  the impact of Prevent and the use of multi faith rooms; and research into the implications of the Modern Slavery Act for the college, especially for ER provision and Estates’ contracts.</w:t>
      </w:r>
    </w:p>
    <w:p w:rsidR="006948BE" w:rsidRDefault="006948BE" w:rsidP="00681CD4">
      <w:pPr>
        <w:spacing w:after="0" w:line="240" w:lineRule="auto"/>
        <w:jc w:val="both"/>
        <w:rPr>
          <w:rFonts w:cs="Arial"/>
        </w:rPr>
      </w:pPr>
    </w:p>
    <w:p w:rsidR="000318D4" w:rsidRPr="000F4604" w:rsidRDefault="001B5E59" w:rsidP="00681CD4">
      <w:pPr>
        <w:spacing w:after="0" w:line="240" w:lineRule="auto"/>
        <w:jc w:val="both"/>
        <w:rPr>
          <w:rFonts w:cs="Arial"/>
        </w:rPr>
      </w:pPr>
      <w:r w:rsidRPr="000F4604">
        <w:rPr>
          <w:rFonts w:cs="Arial"/>
        </w:rPr>
        <w:t>Th</w:t>
      </w:r>
      <w:r w:rsidR="009A2E09">
        <w:rPr>
          <w:rFonts w:cs="Arial"/>
        </w:rPr>
        <w:t>is</w:t>
      </w:r>
      <w:r w:rsidRPr="000F4604">
        <w:rPr>
          <w:rFonts w:cs="Arial"/>
        </w:rPr>
        <w:t xml:space="preserve"> work has included</w:t>
      </w:r>
      <w:r w:rsidR="00FE543F" w:rsidRPr="000F4604">
        <w:rPr>
          <w:rFonts w:cs="Arial"/>
        </w:rPr>
        <w:t>:</w:t>
      </w:r>
    </w:p>
    <w:p w:rsidR="001B4485" w:rsidRPr="000F4604" w:rsidRDefault="001B4485" w:rsidP="00681CD4">
      <w:pPr>
        <w:spacing w:after="0" w:line="240" w:lineRule="auto"/>
        <w:jc w:val="both"/>
        <w:rPr>
          <w:rFonts w:cs="Arial"/>
        </w:rPr>
      </w:pPr>
    </w:p>
    <w:p w:rsidR="000318D4" w:rsidRPr="000F4604" w:rsidRDefault="00F63E1D" w:rsidP="00681CD4">
      <w:pPr>
        <w:spacing w:after="0" w:line="240" w:lineRule="auto"/>
        <w:ind w:left="720"/>
        <w:jc w:val="both"/>
        <w:rPr>
          <w:rFonts w:cs="Arial"/>
          <w:b/>
        </w:rPr>
      </w:pPr>
      <w:r w:rsidRPr="000F4604">
        <w:rPr>
          <w:rFonts w:cs="Arial"/>
          <w:b/>
        </w:rPr>
        <w:t>i)</w:t>
      </w:r>
      <w:r w:rsidR="00692E69" w:rsidRPr="000F4604">
        <w:rPr>
          <w:rFonts w:cs="Arial"/>
          <w:b/>
        </w:rPr>
        <w:t xml:space="preserve">  </w:t>
      </w:r>
      <w:r w:rsidR="00DA1225" w:rsidRPr="000F4604">
        <w:rPr>
          <w:rFonts w:cs="Arial"/>
          <w:b/>
        </w:rPr>
        <w:t xml:space="preserve"> </w:t>
      </w:r>
      <w:r w:rsidR="000318D4" w:rsidRPr="000F4604">
        <w:rPr>
          <w:rFonts w:cs="Arial"/>
          <w:b/>
        </w:rPr>
        <w:t xml:space="preserve">Policy </w:t>
      </w:r>
      <w:r w:rsidR="00AF7C48" w:rsidRPr="000F4604">
        <w:rPr>
          <w:rFonts w:cs="Arial"/>
          <w:b/>
        </w:rPr>
        <w:t>Development</w:t>
      </w:r>
    </w:p>
    <w:p w:rsidR="00ED43E8" w:rsidRPr="000F4604" w:rsidRDefault="00ED43E8" w:rsidP="00681CD4">
      <w:pPr>
        <w:spacing w:after="0" w:line="240" w:lineRule="auto"/>
        <w:ind w:left="720"/>
        <w:jc w:val="both"/>
        <w:rPr>
          <w:rFonts w:cs="Arial"/>
          <w:b/>
        </w:rPr>
      </w:pPr>
    </w:p>
    <w:p w:rsidR="006948BE" w:rsidRDefault="000318D4" w:rsidP="004420D5">
      <w:pPr>
        <w:spacing w:after="0" w:line="240" w:lineRule="auto"/>
        <w:ind w:left="720"/>
        <w:jc w:val="both"/>
        <w:rPr>
          <w:rFonts w:cs="Arial"/>
        </w:rPr>
      </w:pPr>
      <w:r w:rsidRPr="000F4604">
        <w:rPr>
          <w:rFonts w:cs="Arial"/>
        </w:rPr>
        <w:t>Th</w:t>
      </w:r>
      <w:r w:rsidR="00692E69" w:rsidRPr="000F4604">
        <w:rPr>
          <w:rFonts w:cs="Arial"/>
        </w:rPr>
        <w:t xml:space="preserve">e </w:t>
      </w:r>
      <w:r w:rsidR="001B5E59" w:rsidRPr="000F4604">
        <w:rPr>
          <w:rFonts w:cs="Arial"/>
        </w:rPr>
        <w:t xml:space="preserve">EDI </w:t>
      </w:r>
      <w:r w:rsidRPr="000F4604">
        <w:rPr>
          <w:rFonts w:cs="Arial"/>
        </w:rPr>
        <w:t xml:space="preserve">policy is up to date and </w:t>
      </w:r>
      <w:r w:rsidR="00F8242B" w:rsidRPr="000F4604">
        <w:rPr>
          <w:rFonts w:cs="Arial"/>
        </w:rPr>
        <w:t xml:space="preserve">is </w:t>
      </w:r>
      <w:r w:rsidRPr="000F4604">
        <w:rPr>
          <w:rFonts w:cs="Arial"/>
        </w:rPr>
        <w:t>reviewed annually</w:t>
      </w:r>
      <w:r w:rsidR="00F8242B" w:rsidRPr="000F4604">
        <w:rPr>
          <w:rFonts w:cs="Arial"/>
        </w:rPr>
        <w:t xml:space="preserve">. </w:t>
      </w:r>
      <w:r w:rsidR="009A2E09">
        <w:rPr>
          <w:rFonts w:cs="Arial"/>
        </w:rPr>
        <w:t>A</w:t>
      </w:r>
      <w:r w:rsidR="00AF7C48" w:rsidRPr="000F4604">
        <w:rPr>
          <w:rFonts w:cs="Arial"/>
        </w:rPr>
        <w:t xml:space="preserve"> revised EDI statement </w:t>
      </w:r>
      <w:r w:rsidR="009A2E09">
        <w:rPr>
          <w:rFonts w:cs="Arial"/>
        </w:rPr>
        <w:t>is proposed</w:t>
      </w:r>
      <w:r w:rsidR="00AF7C48" w:rsidRPr="000F4604">
        <w:rPr>
          <w:rFonts w:cs="Arial"/>
        </w:rPr>
        <w:t xml:space="preserve">.  </w:t>
      </w:r>
    </w:p>
    <w:p w:rsidR="006948BE" w:rsidRDefault="006948BE" w:rsidP="00681CD4">
      <w:pPr>
        <w:spacing w:after="0" w:line="240" w:lineRule="auto"/>
        <w:jc w:val="both"/>
        <w:rPr>
          <w:rFonts w:cs="Arial"/>
        </w:rPr>
      </w:pPr>
    </w:p>
    <w:p w:rsidR="00AF7C48" w:rsidRPr="000F4604" w:rsidRDefault="007D0B66" w:rsidP="004420D5">
      <w:pPr>
        <w:spacing w:after="0" w:line="240" w:lineRule="auto"/>
        <w:ind w:left="720"/>
        <w:jc w:val="both"/>
        <w:rPr>
          <w:rFonts w:cs="Arial"/>
        </w:rPr>
      </w:pPr>
      <w:r>
        <w:rPr>
          <w:rFonts w:cs="Arial"/>
        </w:rPr>
        <w:t>Central Academy</w:t>
      </w:r>
      <w:r w:rsidR="00577362" w:rsidRPr="000F4604">
        <w:rPr>
          <w:rFonts w:cs="Arial"/>
        </w:rPr>
        <w:t xml:space="preserve"> Trust’s EDI policy was reviewed</w:t>
      </w:r>
      <w:r>
        <w:rPr>
          <w:rFonts w:cs="Arial"/>
        </w:rPr>
        <w:t xml:space="preserve"> in 2015</w:t>
      </w:r>
      <w:r w:rsidR="00577362" w:rsidRPr="000F4604">
        <w:rPr>
          <w:rFonts w:cs="Arial"/>
        </w:rPr>
        <w:t xml:space="preserve">. </w:t>
      </w:r>
      <w:r w:rsidR="006948BE">
        <w:rPr>
          <w:rFonts w:cs="Arial"/>
        </w:rPr>
        <w:t xml:space="preserve">South </w:t>
      </w:r>
      <w:r w:rsidR="00577362" w:rsidRPr="000F4604">
        <w:rPr>
          <w:rFonts w:cs="Arial"/>
        </w:rPr>
        <w:t>N</w:t>
      </w:r>
      <w:r w:rsidR="00AF7C48" w:rsidRPr="000F4604">
        <w:rPr>
          <w:rFonts w:cs="Arial"/>
        </w:rPr>
        <w:t>ottingham</w:t>
      </w:r>
      <w:r w:rsidR="006948BE">
        <w:rPr>
          <w:rFonts w:cs="Arial"/>
        </w:rPr>
        <w:t>shire</w:t>
      </w:r>
      <w:r w:rsidR="00AF7C48" w:rsidRPr="000F4604">
        <w:rPr>
          <w:rFonts w:cs="Arial"/>
        </w:rPr>
        <w:t xml:space="preserve"> Academy </w:t>
      </w:r>
      <w:r w:rsidR="009A2E09">
        <w:rPr>
          <w:rFonts w:cs="Arial"/>
        </w:rPr>
        <w:t>were</w:t>
      </w:r>
      <w:r w:rsidR="00577362" w:rsidRPr="000F4604">
        <w:rPr>
          <w:rFonts w:cs="Arial"/>
        </w:rPr>
        <w:t xml:space="preserve"> supported to </w:t>
      </w:r>
      <w:r w:rsidR="00AF7C48" w:rsidRPr="000F4604">
        <w:rPr>
          <w:rFonts w:cs="Arial"/>
        </w:rPr>
        <w:t>establish</w:t>
      </w:r>
      <w:r w:rsidR="00577362" w:rsidRPr="000F4604">
        <w:rPr>
          <w:rFonts w:cs="Arial"/>
        </w:rPr>
        <w:t xml:space="preserve"> and publish</w:t>
      </w:r>
      <w:r w:rsidR="00AF7C48" w:rsidRPr="000F4604">
        <w:rPr>
          <w:rFonts w:cs="Arial"/>
        </w:rPr>
        <w:t xml:space="preserve"> school EDI objective</w:t>
      </w:r>
      <w:r w:rsidR="00577362" w:rsidRPr="000F4604">
        <w:rPr>
          <w:rFonts w:cs="Arial"/>
        </w:rPr>
        <w:t>s and undertake Equality Analyses in order to adhere to the Public Sector Equality Duty.</w:t>
      </w:r>
    </w:p>
    <w:p w:rsidR="001B4485" w:rsidRPr="000F4604" w:rsidRDefault="00AF7C48" w:rsidP="00681CD4">
      <w:pPr>
        <w:spacing w:after="0" w:line="240" w:lineRule="auto"/>
        <w:ind w:left="720"/>
        <w:jc w:val="both"/>
        <w:rPr>
          <w:rFonts w:cs="Arial"/>
        </w:rPr>
      </w:pPr>
      <w:r w:rsidRPr="000F4604">
        <w:rPr>
          <w:rFonts w:cs="Arial"/>
        </w:rPr>
        <w:t xml:space="preserve"> </w:t>
      </w:r>
    </w:p>
    <w:p w:rsidR="000318D4" w:rsidRPr="000F4604" w:rsidRDefault="000318D4" w:rsidP="00681CD4">
      <w:pPr>
        <w:spacing w:after="0" w:line="240" w:lineRule="auto"/>
        <w:jc w:val="both"/>
        <w:rPr>
          <w:rFonts w:cs="Arial"/>
        </w:rPr>
      </w:pPr>
    </w:p>
    <w:p w:rsidR="000318D4" w:rsidRPr="000F4604" w:rsidRDefault="00F63E1D" w:rsidP="00681CD4">
      <w:pPr>
        <w:spacing w:after="0" w:line="240" w:lineRule="auto"/>
        <w:ind w:left="720"/>
        <w:jc w:val="both"/>
        <w:rPr>
          <w:rFonts w:cs="Arial"/>
          <w:b/>
        </w:rPr>
      </w:pPr>
      <w:r w:rsidRPr="000F4604">
        <w:rPr>
          <w:rFonts w:cs="Arial"/>
          <w:b/>
        </w:rPr>
        <w:t>ii)</w:t>
      </w:r>
      <w:r w:rsidR="00692E69" w:rsidRPr="000F4604">
        <w:rPr>
          <w:rFonts w:cs="Arial"/>
          <w:b/>
        </w:rPr>
        <w:t xml:space="preserve"> </w:t>
      </w:r>
      <w:r w:rsidR="00DA1225" w:rsidRPr="000F4604">
        <w:rPr>
          <w:rFonts w:cs="Arial"/>
          <w:b/>
        </w:rPr>
        <w:t xml:space="preserve"> </w:t>
      </w:r>
      <w:r w:rsidR="000318D4" w:rsidRPr="000F4604">
        <w:rPr>
          <w:rFonts w:cs="Arial"/>
          <w:b/>
        </w:rPr>
        <w:t>Promoting EDI</w:t>
      </w:r>
    </w:p>
    <w:p w:rsidR="00577362" w:rsidRPr="000F4604" w:rsidRDefault="00577362" w:rsidP="00681CD4">
      <w:pPr>
        <w:spacing w:after="0" w:line="240" w:lineRule="auto"/>
        <w:ind w:left="720"/>
        <w:jc w:val="both"/>
        <w:rPr>
          <w:rFonts w:cs="Arial"/>
          <w:b/>
        </w:rPr>
      </w:pPr>
    </w:p>
    <w:p w:rsidR="00577362" w:rsidRPr="000F4604" w:rsidRDefault="00577362" w:rsidP="004420D5">
      <w:pPr>
        <w:spacing w:after="0" w:line="240" w:lineRule="auto"/>
        <w:ind w:left="720"/>
        <w:rPr>
          <w:rFonts w:cs="Arial"/>
        </w:rPr>
      </w:pPr>
      <w:r w:rsidRPr="000F4604">
        <w:rPr>
          <w:rFonts w:cs="Arial"/>
        </w:rPr>
        <w:t xml:space="preserve">EDI continued to be promoted at every level. The VP for Organisational Development is the lead for EDI and ensures that equality, diversity and inclusion is integrated into all functions at executive and senior management level overseeing for example equality analyses in decision making processes, policy/procedure design or review. </w:t>
      </w:r>
    </w:p>
    <w:p w:rsidR="00577362" w:rsidRPr="000F4604" w:rsidRDefault="00577362" w:rsidP="00681CD4">
      <w:pPr>
        <w:spacing w:after="0" w:line="240" w:lineRule="auto"/>
        <w:rPr>
          <w:rFonts w:cs="Arial"/>
        </w:rPr>
      </w:pPr>
    </w:p>
    <w:p w:rsidR="00577362" w:rsidRPr="000F4604" w:rsidRDefault="00577362" w:rsidP="004420D5">
      <w:pPr>
        <w:spacing w:after="0" w:line="240" w:lineRule="auto"/>
        <w:ind w:left="720"/>
        <w:rPr>
          <w:rFonts w:cs="Arial"/>
        </w:rPr>
      </w:pPr>
      <w:r w:rsidRPr="000F4604">
        <w:rPr>
          <w:rFonts w:cs="Arial"/>
        </w:rPr>
        <w:t>EDI matters continue to be communicated through a range of media, including electronically; internally via the intranet, Moodle and SharePoint and externally via the website and EDI Facebook page. Posts involve sharing news stories, resources and promoting events to increase engagement and participation: 2015 has seen an increase</w:t>
      </w:r>
      <w:r w:rsidR="00772960" w:rsidRPr="000F4604">
        <w:rPr>
          <w:rFonts w:cs="Arial"/>
        </w:rPr>
        <w:t>d</w:t>
      </w:r>
      <w:r w:rsidRPr="000F4604">
        <w:rPr>
          <w:rFonts w:cs="Arial"/>
        </w:rPr>
        <w:t xml:space="preserve"> usage of all platforms. </w:t>
      </w:r>
    </w:p>
    <w:p w:rsidR="00577362" w:rsidRPr="000F4604" w:rsidRDefault="00577362" w:rsidP="00681CD4">
      <w:pPr>
        <w:spacing w:after="0" w:line="240" w:lineRule="auto"/>
        <w:ind w:left="720"/>
        <w:jc w:val="both"/>
        <w:rPr>
          <w:rFonts w:cs="Arial"/>
          <w:b/>
        </w:rPr>
      </w:pPr>
    </w:p>
    <w:p w:rsidR="0050163C" w:rsidRPr="000F4604" w:rsidRDefault="000602A9" w:rsidP="004420D5">
      <w:pPr>
        <w:spacing w:after="0" w:line="240" w:lineRule="auto"/>
        <w:ind w:left="720"/>
        <w:jc w:val="both"/>
        <w:rPr>
          <w:rFonts w:cs="Arial"/>
        </w:rPr>
      </w:pPr>
      <w:r w:rsidRPr="000F4604">
        <w:rPr>
          <w:rFonts w:cs="Arial"/>
        </w:rPr>
        <w:t>Noticeboard</w:t>
      </w:r>
      <w:r w:rsidR="0012188C" w:rsidRPr="000F4604">
        <w:rPr>
          <w:rFonts w:cs="Arial"/>
        </w:rPr>
        <w:t>s</w:t>
      </w:r>
      <w:r w:rsidRPr="000F4604">
        <w:rPr>
          <w:rFonts w:cs="Arial"/>
        </w:rPr>
        <w:t xml:space="preserve"> promoting the EDI agenda </w:t>
      </w:r>
      <w:r w:rsidR="0012188C" w:rsidRPr="000F4604">
        <w:rPr>
          <w:rFonts w:cs="Arial"/>
        </w:rPr>
        <w:t>are</w:t>
      </w:r>
      <w:r w:rsidRPr="000F4604">
        <w:rPr>
          <w:rFonts w:cs="Arial"/>
        </w:rPr>
        <w:t xml:space="preserve"> updated at all sites</w:t>
      </w:r>
      <w:r w:rsidR="0012188C" w:rsidRPr="000F4604">
        <w:rPr>
          <w:rFonts w:cs="Arial"/>
        </w:rPr>
        <w:t xml:space="preserve"> and contain up to date and relevant information on EDI and anti-bullying</w:t>
      </w:r>
      <w:r w:rsidR="00295C0C" w:rsidRPr="000F4604">
        <w:rPr>
          <w:rFonts w:cs="Arial"/>
        </w:rPr>
        <w:t>.</w:t>
      </w:r>
      <w:r w:rsidRPr="000F4604">
        <w:rPr>
          <w:rFonts w:cs="Arial"/>
        </w:rPr>
        <w:t xml:space="preserve"> Diversity Calendars</w:t>
      </w:r>
      <w:r w:rsidR="0012188C" w:rsidRPr="000F4604">
        <w:rPr>
          <w:rFonts w:cs="Arial"/>
        </w:rPr>
        <w:t xml:space="preserve"> </w:t>
      </w:r>
      <w:r w:rsidR="00AF7C48" w:rsidRPr="000F4604">
        <w:rPr>
          <w:rFonts w:cs="Arial"/>
        </w:rPr>
        <w:t xml:space="preserve">continue to be popular and </w:t>
      </w:r>
      <w:r w:rsidR="0012188C" w:rsidRPr="000F4604">
        <w:rPr>
          <w:rFonts w:cs="Arial"/>
        </w:rPr>
        <w:t xml:space="preserve">are available </w:t>
      </w:r>
      <w:r w:rsidRPr="000F4604">
        <w:rPr>
          <w:rFonts w:cs="Arial"/>
        </w:rPr>
        <w:t>online</w:t>
      </w:r>
      <w:r w:rsidR="0012188C" w:rsidRPr="000F4604">
        <w:rPr>
          <w:rFonts w:cs="Arial"/>
        </w:rPr>
        <w:t xml:space="preserve"> and</w:t>
      </w:r>
      <w:r w:rsidRPr="000F4604">
        <w:rPr>
          <w:rFonts w:cs="Arial"/>
        </w:rPr>
        <w:t xml:space="preserve"> </w:t>
      </w:r>
      <w:r w:rsidR="0012188C" w:rsidRPr="000F4604">
        <w:rPr>
          <w:rFonts w:cs="Arial"/>
        </w:rPr>
        <w:t xml:space="preserve">in hard copy and are </w:t>
      </w:r>
      <w:r w:rsidRPr="000F4604">
        <w:rPr>
          <w:rFonts w:cs="Arial"/>
        </w:rPr>
        <w:t>displayed at key service points</w:t>
      </w:r>
      <w:r w:rsidR="0012188C" w:rsidRPr="000F4604">
        <w:rPr>
          <w:rFonts w:cs="Arial"/>
        </w:rPr>
        <w:t>.</w:t>
      </w:r>
      <w:r w:rsidR="0050163C" w:rsidRPr="000F4604">
        <w:rPr>
          <w:rFonts w:cs="Arial"/>
        </w:rPr>
        <w:t xml:space="preserve"> </w:t>
      </w:r>
    </w:p>
    <w:p w:rsidR="009B066B" w:rsidRPr="000F4604" w:rsidRDefault="009B066B" w:rsidP="00681CD4">
      <w:pPr>
        <w:spacing w:after="0" w:line="240" w:lineRule="auto"/>
        <w:jc w:val="both"/>
        <w:rPr>
          <w:rFonts w:cs="Arial"/>
        </w:rPr>
      </w:pPr>
    </w:p>
    <w:p w:rsidR="009B066B" w:rsidRPr="000F4604" w:rsidRDefault="009B066B" w:rsidP="004420D5">
      <w:pPr>
        <w:spacing w:after="0" w:line="240" w:lineRule="auto"/>
        <w:ind w:left="720"/>
        <w:jc w:val="both"/>
        <w:rPr>
          <w:rFonts w:cs="Arial"/>
        </w:rPr>
      </w:pPr>
      <w:r w:rsidRPr="007D0B66">
        <w:rPr>
          <w:rFonts w:cs="Arial"/>
        </w:rPr>
        <w:t xml:space="preserve">A </w:t>
      </w:r>
      <w:r w:rsidR="007D0B66">
        <w:rPr>
          <w:rFonts w:cs="Arial"/>
        </w:rPr>
        <w:t>‘</w:t>
      </w:r>
      <w:r w:rsidRPr="007D0B66">
        <w:rPr>
          <w:rFonts w:cs="Arial"/>
        </w:rPr>
        <w:t>miniature world</w:t>
      </w:r>
      <w:r w:rsidR="007D0B66">
        <w:rPr>
          <w:rFonts w:cs="Arial"/>
        </w:rPr>
        <w:t>’</w:t>
      </w:r>
      <w:r w:rsidRPr="007D0B66">
        <w:rPr>
          <w:rFonts w:cs="Arial"/>
        </w:rPr>
        <w:t xml:space="preserve"> video was designed to explore the diversity of the student population, and </w:t>
      </w:r>
      <w:r w:rsidR="007D0B66">
        <w:rPr>
          <w:rFonts w:cs="Arial"/>
        </w:rPr>
        <w:t xml:space="preserve">was </w:t>
      </w:r>
      <w:r w:rsidRPr="007D0B66">
        <w:rPr>
          <w:rFonts w:cs="Arial"/>
        </w:rPr>
        <w:t>used effectively during induction and tutorial sessions to raise awareness of EDI</w:t>
      </w:r>
      <w:r w:rsidR="00772960" w:rsidRPr="007D0B66">
        <w:rPr>
          <w:rFonts w:cs="Arial"/>
        </w:rPr>
        <w:t xml:space="preserve"> a</w:t>
      </w:r>
      <w:r w:rsidR="007D0B66">
        <w:rPr>
          <w:rFonts w:cs="Arial"/>
        </w:rPr>
        <w:t xml:space="preserve">s well as </w:t>
      </w:r>
      <w:r w:rsidR="00772960" w:rsidRPr="007D0B66">
        <w:rPr>
          <w:rFonts w:cs="Arial"/>
        </w:rPr>
        <w:t>proving a useful tool to embed maths and English.</w:t>
      </w:r>
    </w:p>
    <w:p w:rsidR="0050163C" w:rsidRPr="000F4604" w:rsidRDefault="0050163C" w:rsidP="00681CD4">
      <w:pPr>
        <w:spacing w:after="0" w:line="240" w:lineRule="auto"/>
        <w:ind w:left="720"/>
        <w:jc w:val="both"/>
        <w:rPr>
          <w:rFonts w:cs="Arial"/>
        </w:rPr>
      </w:pPr>
    </w:p>
    <w:p w:rsidR="00AF7C48" w:rsidRPr="000F4604" w:rsidRDefault="00AF7C48" w:rsidP="004420D5">
      <w:pPr>
        <w:spacing w:after="0" w:line="240" w:lineRule="auto"/>
        <w:ind w:left="720"/>
        <w:jc w:val="both"/>
        <w:rPr>
          <w:rFonts w:cs="Arial"/>
        </w:rPr>
      </w:pPr>
      <w:r w:rsidRPr="000F4604">
        <w:rPr>
          <w:rFonts w:cs="Arial"/>
        </w:rPr>
        <w:t>A British Values poster competition was initiated by a student EDI rep with the winning designs to be used across college sites</w:t>
      </w:r>
      <w:r w:rsidR="00577362" w:rsidRPr="000F4604">
        <w:rPr>
          <w:rFonts w:cs="Arial"/>
        </w:rPr>
        <w:t xml:space="preserve"> in 2016</w:t>
      </w:r>
      <w:r w:rsidRPr="000F4604">
        <w:rPr>
          <w:rFonts w:cs="Arial"/>
        </w:rPr>
        <w:t>.</w:t>
      </w:r>
    </w:p>
    <w:p w:rsidR="000318D4" w:rsidRDefault="000318D4" w:rsidP="00681CD4">
      <w:pPr>
        <w:spacing w:after="0" w:line="240" w:lineRule="auto"/>
        <w:ind w:left="720"/>
        <w:jc w:val="both"/>
        <w:rPr>
          <w:rFonts w:cs="Arial"/>
        </w:rPr>
      </w:pPr>
    </w:p>
    <w:p w:rsidR="009D3F05" w:rsidRDefault="009D3F05" w:rsidP="00681CD4">
      <w:pPr>
        <w:spacing w:after="0" w:line="240" w:lineRule="auto"/>
        <w:ind w:left="720"/>
        <w:jc w:val="both"/>
        <w:rPr>
          <w:rFonts w:cs="Arial"/>
        </w:rPr>
      </w:pPr>
    </w:p>
    <w:p w:rsidR="009D3F05" w:rsidRDefault="009D3F05" w:rsidP="00681CD4">
      <w:pPr>
        <w:spacing w:after="0" w:line="240" w:lineRule="auto"/>
        <w:ind w:left="720"/>
        <w:jc w:val="both"/>
        <w:rPr>
          <w:rFonts w:cs="Arial"/>
        </w:rPr>
      </w:pPr>
    </w:p>
    <w:p w:rsidR="009D3F05" w:rsidRDefault="009D3F05" w:rsidP="00681CD4">
      <w:pPr>
        <w:spacing w:after="0" w:line="240" w:lineRule="auto"/>
        <w:ind w:left="720"/>
        <w:jc w:val="both"/>
        <w:rPr>
          <w:rFonts w:cs="Arial"/>
        </w:rPr>
      </w:pPr>
    </w:p>
    <w:p w:rsidR="00C06FF1" w:rsidRPr="000F4604" w:rsidRDefault="00C06FF1" w:rsidP="00681CD4">
      <w:pPr>
        <w:spacing w:after="0" w:line="240" w:lineRule="auto"/>
        <w:jc w:val="both"/>
        <w:rPr>
          <w:rFonts w:cs="Arial"/>
          <w:b/>
        </w:rPr>
      </w:pPr>
    </w:p>
    <w:p w:rsidR="00C06FF1" w:rsidRPr="000F4604" w:rsidRDefault="00F63E1D" w:rsidP="00681CD4">
      <w:pPr>
        <w:spacing w:after="0" w:line="240" w:lineRule="auto"/>
        <w:ind w:left="720"/>
        <w:jc w:val="both"/>
        <w:rPr>
          <w:rFonts w:cs="Arial"/>
          <w:b/>
        </w:rPr>
      </w:pPr>
      <w:r w:rsidRPr="000F4604">
        <w:rPr>
          <w:rFonts w:cs="Arial"/>
          <w:b/>
        </w:rPr>
        <w:t xml:space="preserve">iii) </w:t>
      </w:r>
      <w:r w:rsidR="00DA1225" w:rsidRPr="000F4604">
        <w:rPr>
          <w:rFonts w:cs="Arial"/>
          <w:b/>
        </w:rPr>
        <w:t xml:space="preserve"> </w:t>
      </w:r>
      <w:r w:rsidR="00C06FF1" w:rsidRPr="000F4604">
        <w:rPr>
          <w:rFonts w:cs="Arial"/>
          <w:b/>
        </w:rPr>
        <w:t>Engaging Learners</w:t>
      </w:r>
    </w:p>
    <w:p w:rsidR="00BF66C0" w:rsidRPr="000F4604" w:rsidRDefault="00BF66C0" w:rsidP="00681CD4">
      <w:pPr>
        <w:spacing w:after="0" w:line="240" w:lineRule="auto"/>
        <w:ind w:left="720"/>
        <w:jc w:val="both"/>
        <w:rPr>
          <w:rFonts w:cs="Arial"/>
          <w:b/>
        </w:rPr>
      </w:pPr>
    </w:p>
    <w:p w:rsidR="00577362" w:rsidRPr="000F4604" w:rsidRDefault="00577362" w:rsidP="004420D5">
      <w:pPr>
        <w:spacing w:after="0" w:line="240" w:lineRule="auto"/>
        <w:ind w:left="720"/>
        <w:rPr>
          <w:rFonts w:cs="Arial"/>
        </w:rPr>
      </w:pPr>
      <w:r w:rsidRPr="000F4604">
        <w:rPr>
          <w:rFonts w:cs="Arial"/>
        </w:rPr>
        <w:t xml:space="preserve">The majority of EDI events </w:t>
      </w:r>
      <w:r w:rsidR="009A2E09">
        <w:rPr>
          <w:rFonts w:cs="Arial"/>
        </w:rPr>
        <w:t>last year</w:t>
      </w:r>
      <w:r w:rsidRPr="000F4604">
        <w:rPr>
          <w:rFonts w:cs="Arial"/>
        </w:rPr>
        <w:t xml:space="preserve"> were </w:t>
      </w:r>
      <w:r w:rsidR="009A2E09">
        <w:rPr>
          <w:rFonts w:cs="Arial"/>
        </w:rPr>
        <w:t>supported</w:t>
      </w:r>
      <w:r w:rsidRPr="000F4604">
        <w:rPr>
          <w:rFonts w:cs="Arial"/>
        </w:rPr>
        <w:t xml:space="preserve"> by a learner on placement with the EDI team who encouraged student involvement with a wide range of topics to celebrate diversity, challenge perceptions and increase awareness and understanding. Examples include:</w:t>
      </w:r>
    </w:p>
    <w:p w:rsidR="009D3F05" w:rsidRDefault="009D3F05" w:rsidP="009D3F05">
      <w:pPr>
        <w:spacing w:after="0" w:line="240" w:lineRule="auto"/>
        <w:ind w:left="1440"/>
        <w:rPr>
          <w:rFonts w:cs="Arial"/>
        </w:rPr>
      </w:pPr>
    </w:p>
    <w:p w:rsidR="00577362" w:rsidRPr="00DF613D" w:rsidRDefault="00577362" w:rsidP="00E24178">
      <w:pPr>
        <w:pStyle w:val="ListParagraph"/>
        <w:numPr>
          <w:ilvl w:val="1"/>
          <w:numId w:val="37"/>
        </w:numPr>
        <w:spacing w:after="0" w:line="240" w:lineRule="auto"/>
        <w:rPr>
          <w:rFonts w:ascii="Arial" w:hAnsi="Arial" w:cs="Arial"/>
        </w:rPr>
      </w:pPr>
      <w:r w:rsidRPr="00DF613D">
        <w:rPr>
          <w:rFonts w:ascii="Arial" w:hAnsi="Arial" w:cs="Arial"/>
        </w:rPr>
        <w:t xml:space="preserve">Diversity Week, to coincide with IDAHO week and run with Nottinghamshire Police, to promote the No Bystanders Campaign across all sites,  receiving  53 “Hear it, Stop it” pledges from learners </w:t>
      </w:r>
    </w:p>
    <w:p w:rsidR="009A2E09" w:rsidRPr="00DF613D" w:rsidRDefault="009A2E09" w:rsidP="00E24178">
      <w:pPr>
        <w:spacing w:after="0" w:line="240" w:lineRule="auto"/>
        <w:ind w:left="720"/>
        <w:rPr>
          <w:rFonts w:cs="Arial"/>
        </w:rPr>
      </w:pPr>
    </w:p>
    <w:p w:rsidR="00577362" w:rsidRPr="00DF613D" w:rsidRDefault="00577362" w:rsidP="00E24178">
      <w:pPr>
        <w:pStyle w:val="ListParagraph"/>
        <w:numPr>
          <w:ilvl w:val="1"/>
          <w:numId w:val="37"/>
        </w:numPr>
        <w:spacing w:after="0" w:line="240" w:lineRule="auto"/>
        <w:rPr>
          <w:rFonts w:ascii="Arial" w:hAnsi="Arial" w:cs="Arial"/>
        </w:rPr>
      </w:pPr>
      <w:r w:rsidRPr="00DF613D">
        <w:rPr>
          <w:rFonts w:ascii="Arial" w:hAnsi="Arial" w:cs="Arial"/>
        </w:rPr>
        <w:t>Healthy College’s week  at all sites to promote mental health awareness resulting in a number of referrals to appropriate agencies</w:t>
      </w:r>
    </w:p>
    <w:p w:rsidR="004420D5" w:rsidRPr="00DF613D" w:rsidRDefault="004420D5" w:rsidP="00E24178">
      <w:pPr>
        <w:spacing w:after="0" w:line="240" w:lineRule="auto"/>
        <w:ind w:left="1440"/>
        <w:rPr>
          <w:rFonts w:cs="Arial"/>
        </w:rPr>
      </w:pPr>
    </w:p>
    <w:p w:rsidR="00577362" w:rsidRPr="00DF613D" w:rsidRDefault="00577362" w:rsidP="00E24178">
      <w:pPr>
        <w:pStyle w:val="ListParagraph"/>
        <w:numPr>
          <w:ilvl w:val="1"/>
          <w:numId w:val="37"/>
        </w:numPr>
        <w:spacing w:after="0" w:line="240" w:lineRule="auto"/>
        <w:rPr>
          <w:rFonts w:ascii="Arial" w:hAnsi="Arial" w:cs="Arial"/>
        </w:rPr>
      </w:pPr>
      <w:r w:rsidRPr="00DF613D">
        <w:rPr>
          <w:rFonts w:ascii="Arial" w:hAnsi="Arial" w:cs="Arial"/>
        </w:rPr>
        <w:t xml:space="preserve">Barclays Skills Week at Clifton to promote the Fair Futures programme and support available for disabled employees </w:t>
      </w:r>
    </w:p>
    <w:p w:rsidR="004420D5" w:rsidRPr="00DF613D" w:rsidRDefault="004420D5" w:rsidP="00E24178">
      <w:pPr>
        <w:spacing w:after="0" w:line="240" w:lineRule="auto"/>
        <w:ind w:left="1440"/>
        <w:rPr>
          <w:rFonts w:cs="Arial"/>
        </w:rPr>
      </w:pPr>
    </w:p>
    <w:p w:rsidR="00577362" w:rsidRPr="00DF613D" w:rsidRDefault="00577362" w:rsidP="00E24178">
      <w:pPr>
        <w:pStyle w:val="ListParagraph"/>
        <w:numPr>
          <w:ilvl w:val="1"/>
          <w:numId w:val="37"/>
        </w:numPr>
        <w:spacing w:after="0" w:line="240" w:lineRule="auto"/>
        <w:rPr>
          <w:rFonts w:ascii="Arial" w:hAnsi="Arial" w:cs="Arial"/>
        </w:rPr>
      </w:pPr>
      <w:r w:rsidRPr="00DF613D">
        <w:rPr>
          <w:rFonts w:ascii="Arial" w:hAnsi="Arial" w:cs="Arial"/>
        </w:rPr>
        <w:t>LGBT h</w:t>
      </w:r>
      <w:r w:rsidR="004420D5" w:rsidRPr="00DF613D">
        <w:rPr>
          <w:rFonts w:ascii="Arial" w:hAnsi="Arial" w:cs="Arial"/>
        </w:rPr>
        <w:t>i</w:t>
      </w:r>
      <w:r w:rsidRPr="00DF613D">
        <w:rPr>
          <w:rFonts w:ascii="Arial" w:hAnsi="Arial" w:cs="Arial"/>
        </w:rPr>
        <w:t>story month at London Road to celebrate the diversity of sexualities and challenge homophobic language and behaviour</w:t>
      </w:r>
    </w:p>
    <w:p w:rsidR="004420D5" w:rsidRPr="00DF613D" w:rsidRDefault="004420D5" w:rsidP="00E24178">
      <w:pPr>
        <w:spacing w:after="0" w:line="240" w:lineRule="auto"/>
        <w:ind w:left="720"/>
        <w:rPr>
          <w:rFonts w:cs="Arial"/>
        </w:rPr>
      </w:pPr>
    </w:p>
    <w:p w:rsidR="00577362" w:rsidRPr="00DF613D" w:rsidRDefault="00577362" w:rsidP="00E24178">
      <w:pPr>
        <w:pStyle w:val="ListParagraph"/>
        <w:numPr>
          <w:ilvl w:val="1"/>
          <w:numId w:val="37"/>
        </w:numPr>
        <w:spacing w:after="0" w:line="240" w:lineRule="auto"/>
        <w:rPr>
          <w:rFonts w:ascii="Arial" w:hAnsi="Arial" w:cs="Arial"/>
        </w:rPr>
      </w:pPr>
      <w:r w:rsidRPr="00DF613D">
        <w:rPr>
          <w:rFonts w:ascii="Arial" w:hAnsi="Arial" w:cs="Arial"/>
        </w:rPr>
        <w:t>Lunar New Year at Maid Marian Way engaging staff and learners with Chinese horoscope bookmarks</w:t>
      </w:r>
    </w:p>
    <w:p w:rsidR="004420D5" w:rsidRPr="00DF613D" w:rsidRDefault="004420D5" w:rsidP="00E24178">
      <w:pPr>
        <w:spacing w:after="0" w:line="240" w:lineRule="auto"/>
        <w:ind w:left="1440"/>
        <w:rPr>
          <w:rFonts w:cs="Arial"/>
        </w:rPr>
      </w:pPr>
    </w:p>
    <w:p w:rsidR="00577362" w:rsidRPr="00DF613D" w:rsidRDefault="00577362" w:rsidP="00E24178">
      <w:pPr>
        <w:pStyle w:val="ListParagraph"/>
        <w:numPr>
          <w:ilvl w:val="1"/>
          <w:numId w:val="37"/>
        </w:numPr>
        <w:spacing w:after="0" w:line="240" w:lineRule="auto"/>
        <w:rPr>
          <w:rFonts w:ascii="Arial" w:hAnsi="Arial" w:cs="Arial"/>
        </w:rPr>
      </w:pPr>
      <w:r w:rsidRPr="00DF613D">
        <w:rPr>
          <w:rFonts w:ascii="Arial" w:hAnsi="Arial" w:cs="Arial"/>
        </w:rPr>
        <w:t>International Day of the Elimination of Racial Discrimination at Beeston engaging international learners to communicate on the subject of racism in a global context</w:t>
      </w:r>
    </w:p>
    <w:p w:rsidR="004420D5" w:rsidRPr="00DF613D" w:rsidRDefault="004420D5" w:rsidP="00E24178">
      <w:pPr>
        <w:spacing w:after="0" w:line="240" w:lineRule="auto"/>
        <w:ind w:left="720"/>
        <w:rPr>
          <w:rFonts w:cs="Arial"/>
        </w:rPr>
      </w:pPr>
    </w:p>
    <w:p w:rsidR="00577362" w:rsidRPr="00DF613D" w:rsidRDefault="00577362" w:rsidP="00E24178">
      <w:pPr>
        <w:pStyle w:val="ListParagraph"/>
        <w:numPr>
          <w:ilvl w:val="1"/>
          <w:numId w:val="37"/>
        </w:numPr>
        <w:spacing w:after="0" w:line="240" w:lineRule="auto"/>
        <w:rPr>
          <w:rFonts w:ascii="Arial" w:hAnsi="Arial" w:cs="Arial"/>
        </w:rPr>
      </w:pPr>
      <w:r w:rsidRPr="00DF613D">
        <w:rPr>
          <w:rFonts w:ascii="Arial" w:hAnsi="Arial" w:cs="Arial"/>
        </w:rPr>
        <w:t>Holocaust Memorial Day at Maid Marian Way involving a film showing for learners and staff</w:t>
      </w:r>
    </w:p>
    <w:p w:rsidR="00577362" w:rsidRPr="00DF613D" w:rsidRDefault="00577362" w:rsidP="00681CD4">
      <w:pPr>
        <w:spacing w:after="0" w:line="240" w:lineRule="auto"/>
        <w:ind w:left="720"/>
        <w:jc w:val="both"/>
        <w:rPr>
          <w:rFonts w:cs="Arial"/>
          <w:b/>
        </w:rPr>
      </w:pPr>
    </w:p>
    <w:p w:rsidR="00E60AFC" w:rsidRPr="000F4604" w:rsidRDefault="009B066B" w:rsidP="004420D5">
      <w:pPr>
        <w:spacing w:after="0" w:line="240" w:lineRule="auto"/>
        <w:ind w:left="720"/>
        <w:jc w:val="both"/>
        <w:rPr>
          <w:rFonts w:cs="Arial"/>
        </w:rPr>
      </w:pPr>
      <w:r w:rsidRPr="000F4604">
        <w:rPr>
          <w:rFonts w:cs="Arial"/>
        </w:rPr>
        <w:t>A ‘</w:t>
      </w:r>
      <w:r w:rsidR="00BF66C0" w:rsidRPr="000F4604">
        <w:rPr>
          <w:rFonts w:cs="Arial"/>
        </w:rPr>
        <w:t>Be Central</w:t>
      </w:r>
      <w:r w:rsidRPr="000F4604">
        <w:rPr>
          <w:rFonts w:cs="Arial"/>
        </w:rPr>
        <w:t>’</w:t>
      </w:r>
      <w:r w:rsidR="00BF66C0" w:rsidRPr="000F4604">
        <w:rPr>
          <w:rFonts w:cs="Arial"/>
        </w:rPr>
        <w:t xml:space="preserve"> event</w:t>
      </w:r>
      <w:r w:rsidRPr="000F4604">
        <w:rPr>
          <w:rFonts w:cs="Arial"/>
        </w:rPr>
        <w:t xml:space="preserve"> was run as part of the induction period </w:t>
      </w:r>
      <w:r w:rsidR="007D0B66">
        <w:rPr>
          <w:rFonts w:cs="Arial"/>
        </w:rPr>
        <w:t xml:space="preserve">in </w:t>
      </w:r>
      <w:r w:rsidR="009A2E09">
        <w:rPr>
          <w:rFonts w:cs="Arial"/>
        </w:rPr>
        <w:t xml:space="preserve">September </w:t>
      </w:r>
      <w:r w:rsidR="007D0B66">
        <w:rPr>
          <w:rFonts w:cs="Arial"/>
        </w:rPr>
        <w:t xml:space="preserve">2015 </w:t>
      </w:r>
      <w:r w:rsidRPr="000F4604">
        <w:rPr>
          <w:rFonts w:cs="Arial"/>
        </w:rPr>
        <w:t>and l</w:t>
      </w:r>
      <w:r w:rsidR="00532B6B" w:rsidRPr="000F4604">
        <w:rPr>
          <w:rFonts w:cs="Arial"/>
        </w:rPr>
        <w:t xml:space="preserve">earners </w:t>
      </w:r>
      <w:r w:rsidR="00E60AFC" w:rsidRPr="000F4604">
        <w:rPr>
          <w:rFonts w:cs="Arial"/>
        </w:rPr>
        <w:t>engaged with stalls and activities providing information about diverse cultures</w:t>
      </w:r>
      <w:r w:rsidR="007D0B66">
        <w:rPr>
          <w:rFonts w:cs="Arial"/>
        </w:rPr>
        <w:t>, and well as signing up to “Not be a bystander”</w:t>
      </w:r>
      <w:r w:rsidR="00454D3C" w:rsidRPr="000F4604">
        <w:rPr>
          <w:rFonts w:cs="Arial"/>
        </w:rPr>
        <w:t>.</w:t>
      </w:r>
      <w:r w:rsidR="00E60AFC" w:rsidRPr="000F4604">
        <w:rPr>
          <w:rFonts w:cs="Arial"/>
        </w:rPr>
        <w:t xml:space="preserve"> </w:t>
      </w:r>
    </w:p>
    <w:p w:rsidR="00104A78" w:rsidRPr="000F4604" w:rsidRDefault="00104A78" w:rsidP="00681CD4">
      <w:pPr>
        <w:spacing w:after="0" w:line="240" w:lineRule="auto"/>
        <w:jc w:val="both"/>
        <w:rPr>
          <w:rFonts w:cs="Arial"/>
        </w:rPr>
      </w:pPr>
    </w:p>
    <w:p w:rsidR="00AF1A07" w:rsidRPr="000F4604" w:rsidRDefault="00554DED" w:rsidP="004420D5">
      <w:pPr>
        <w:spacing w:after="0" w:line="240" w:lineRule="auto"/>
        <w:ind w:left="720"/>
        <w:rPr>
          <w:rFonts w:cs="Arial"/>
        </w:rPr>
      </w:pPr>
      <w:r>
        <w:rPr>
          <w:rFonts w:cs="Arial"/>
        </w:rPr>
        <w:t>The c</w:t>
      </w:r>
      <w:r w:rsidR="007D0B66">
        <w:rPr>
          <w:rFonts w:cs="Arial"/>
        </w:rPr>
        <w:t xml:space="preserve">ollege </w:t>
      </w:r>
      <w:r w:rsidR="00104A78" w:rsidRPr="000F4604">
        <w:rPr>
          <w:rFonts w:cs="Arial"/>
        </w:rPr>
        <w:t>EDI learner rep organised and ran a fundraising event for Christmas raising money for a local homeless charity and promoting the role of EDI student reps to peers.</w:t>
      </w:r>
      <w:r w:rsidR="00AF1A07" w:rsidRPr="000F4604">
        <w:rPr>
          <w:rFonts w:cs="Arial"/>
        </w:rPr>
        <w:t xml:space="preserve"> </w:t>
      </w:r>
    </w:p>
    <w:p w:rsidR="00AF1A07" w:rsidRPr="000F4604" w:rsidRDefault="00AF1A07" w:rsidP="00681CD4">
      <w:pPr>
        <w:spacing w:after="0" w:line="240" w:lineRule="auto"/>
        <w:rPr>
          <w:rFonts w:cs="Arial"/>
        </w:rPr>
      </w:pPr>
    </w:p>
    <w:p w:rsidR="00104A78" w:rsidRPr="000F4604" w:rsidRDefault="00AF1A07" w:rsidP="004420D5">
      <w:pPr>
        <w:spacing w:after="0" w:line="240" w:lineRule="auto"/>
        <w:ind w:left="720"/>
        <w:rPr>
          <w:rFonts w:cs="Arial"/>
        </w:rPr>
      </w:pPr>
      <w:r w:rsidRPr="000F4604">
        <w:rPr>
          <w:rFonts w:cs="Arial"/>
        </w:rPr>
        <w:t xml:space="preserve">The EDI learner rep initiated a poster competition to explore the aspects of British Values and its links with equality and diversity. </w:t>
      </w:r>
      <w:r w:rsidR="00104A78" w:rsidRPr="000F4604">
        <w:rPr>
          <w:rFonts w:cs="Arial"/>
        </w:rPr>
        <w:t xml:space="preserve"> </w:t>
      </w:r>
    </w:p>
    <w:p w:rsidR="00104A78" w:rsidRPr="000F4604" w:rsidRDefault="00104A78" w:rsidP="00681CD4">
      <w:pPr>
        <w:spacing w:after="0" w:line="240" w:lineRule="auto"/>
        <w:rPr>
          <w:rFonts w:cs="Arial"/>
        </w:rPr>
      </w:pPr>
    </w:p>
    <w:p w:rsidR="0012188C" w:rsidRDefault="00FA00F9" w:rsidP="004420D5">
      <w:pPr>
        <w:spacing w:after="0" w:line="240" w:lineRule="auto"/>
        <w:ind w:left="720"/>
        <w:jc w:val="both"/>
        <w:rPr>
          <w:rFonts w:cs="Arial"/>
        </w:rPr>
      </w:pPr>
      <w:r w:rsidRPr="000F4604">
        <w:rPr>
          <w:rFonts w:cs="Arial"/>
        </w:rPr>
        <w:t>Learners worked together in student partnership events aimed at breaking down barriers between diverse groups of learners</w:t>
      </w:r>
      <w:r w:rsidR="0012188C" w:rsidRPr="000F4604">
        <w:rPr>
          <w:rFonts w:cs="Arial"/>
        </w:rPr>
        <w:t>. This included</w:t>
      </w:r>
      <w:r w:rsidRPr="000F4604">
        <w:rPr>
          <w:rFonts w:cs="Arial"/>
        </w:rPr>
        <w:t xml:space="preserve"> International learners participating in on-the-job training sessions delivered by Construction learners.</w:t>
      </w:r>
    </w:p>
    <w:p w:rsidR="009A2E09" w:rsidRPr="000F4604" w:rsidRDefault="009A2E09" w:rsidP="00681CD4">
      <w:pPr>
        <w:spacing w:after="0" w:line="240" w:lineRule="auto"/>
        <w:jc w:val="both"/>
        <w:rPr>
          <w:rFonts w:cs="Arial"/>
        </w:rPr>
      </w:pPr>
    </w:p>
    <w:p w:rsidR="00BF66C0" w:rsidRPr="000F4604" w:rsidRDefault="00BF66C0" w:rsidP="004420D5">
      <w:pPr>
        <w:spacing w:after="0" w:line="240" w:lineRule="auto"/>
        <w:ind w:left="720"/>
        <w:jc w:val="both"/>
        <w:rPr>
          <w:rFonts w:cs="Arial"/>
          <w:color w:val="000000" w:themeColor="text1"/>
        </w:rPr>
      </w:pPr>
      <w:r w:rsidRPr="000F4604">
        <w:rPr>
          <w:rFonts w:cs="Arial"/>
        </w:rPr>
        <w:t xml:space="preserve">8 </w:t>
      </w:r>
      <w:r w:rsidR="00F63E1D" w:rsidRPr="000F4604">
        <w:rPr>
          <w:rFonts w:cs="Arial"/>
        </w:rPr>
        <w:t>l</w:t>
      </w:r>
      <w:r w:rsidR="00EB6F68" w:rsidRPr="000F4604">
        <w:rPr>
          <w:rFonts w:cs="Arial"/>
        </w:rPr>
        <w:t xml:space="preserve">earners participated in a </w:t>
      </w:r>
      <w:r w:rsidRPr="000F4604">
        <w:rPr>
          <w:rFonts w:cs="Arial"/>
        </w:rPr>
        <w:t>Young Leadership course, Catalyst, which the college</w:t>
      </w:r>
      <w:r w:rsidR="00104A78" w:rsidRPr="000F4604">
        <w:rPr>
          <w:rFonts w:cs="Arial"/>
        </w:rPr>
        <w:t>,</w:t>
      </w:r>
      <w:r w:rsidRPr="000F4604">
        <w:rPr>
          <w:rFonts w:cs="Arial"/>
        </w:rPr>
        <w:t xml:space="preserve"> working in partnership with St Philips Centre in Leicester and the Near Neighbours project</w:t>
      </w:r>
      <w:r w:rsidR="00104A78" w:rsidRPr="000F4604">
        <w:rPr>
          <w:rFonts w:cs="Arial"/>
        </w:rPr>
        <w:t>,</w:t>
      </w:r>
      <w:r w:rsidRPr="000F4604">
        <w:rPr>
          <w:rFonts w:cs="Arial"/>
        </w:rPr>
        <w:t xml:space="preserve"> delivered during the Easter break. Participants reported an increased sense of community cohesion with an improved understanding of difference, in particular different faiths and beliefs.</w:t>
      </w:r>
    </w:p>
    <w:p w:rsidR="00104A78" w:rsidRPr="000F4604" w:rsidRDefault="00104A78" w:rsidP="00681CD4">
      <w:pPr>
        <w:pStyle w:val="ListParagraph"/>
        <w:spacing w:after="0" w:line="240" w:lineRule="auto"/>
        <w:ind w:left="0"/>
        <w:rPr>
          <w:rFonts w:ascii="Arial" w:hAnsi="Arial" w:cs="Arial"/>
        </w:rPr>
      </w:pPr>
    </w:p>
    <w:p w:rsidR="007D0B66" w:rsidRPr="000F4604" w:rsidRDefault="009A2E09" w:rsidP="004420D5">
      <w:pPr>
        <w:spacing w:after="0" w:line="240" w:lineRule="auto"/>
        <w:ind w:left="720"/>
        <w:jc w:val="both"/>
        <w:rPr>
          <w:rFonts w:cs="Arial"/>
        </w:rPr>
      </w:pPr>
      <w:r>
        <w:rPr>
          <w:rFonts w:cs="Arial"/>
        </w:rPr>
        <w:t>A number of l</w:t>
      </w:r>
      <w:r w:rsidR="007D0B66" w:rsidRPr="000F4604">
        <w:rPr>
          <w:rFonts w:cs="Arial"/>
        </w:rPr>
        <w:t>earners who face a particular barrier because of a disability, difficulty or health condition</w:t>
      </w:r>
      <w:r w:rsidR="007D0B66">
        <w:rPr>
          <w:rFonts w:cs="Arial"/>
        </w:rPr>
        <w:t xml:space="preserve"> were engaged in the Fair Futures programme to develop confidence and </w:t>
      </w:r>
      <w:r w:rsidR="007D0B66" w:rsidRPr="000F4604">
        <w:rPr>
          <w:rFonts w:cs="Arial"/>
        </w:rPr>
        <w:t xml:space="preserve">employability skills. </w:t>
      </w:r>
    </w:p>
    <w:p w:rsidR="007D0B66" w:rsidRDefault="007D0B66" w:rsidP="00681CD4">
      <w:pPr>
        <w:spacing w:after="0" w:line="240" w:lineRule="auto"/>
        <w:jc w:val="both"/>
        <w:rPr>
          <w:rFonts w:cs="Arial"/>
        </w:rPr>
      </w:pPr>
    </w:p>
    <w:p w:rsidR="005C1904" w:rsidRPr="000F4604" w:rsidRDefault="00FA00F9" w:rsidP="004420D5">
      <w:pPr>
        <w:spacing w:after="0" w:line="240" w:lineRule="auto"/>
        <w:ind w:left="720"/>
        <w:jc w:val="both"/>
        <w:rPr>
          <w:rFonts w:cs="Arial"/>
        </w:rPr>
      </w:pPr>
      <w:r w:rsidRPr="000F4604">
        <w:rPr>
          <w:rFonts w:cs="Arial"/>
        </w:rPr>
        <w:t xml:space="preserve">The </w:t>
      </w:r>
      <w:r w:rsidR="00264D41" w:rsidRPr="000F4604">
        <w:rPr>
          <w:rFonts w:cs="Arial"/>
        </w:rPr>
        <w:t xml:space="preserve">EDI </w:t>
      </w:r>
      <w:r w:rsidR="006D1B97">
        <w:rPr>
          <w:rFonts w:cs="Arial"/>
        </w:rPr>
        <w:t xml:space="preserve">agenda is </w:t>
      </w:r>
      <w:r w:rsidR="009A2E09">
        <w:rPr>
          <w:rFonts w:cs="Arial"/>
        </w:rPr>
        <w:t xml:space="preserve">well </w:t>
      </w:r>
      <w:r w:rsidR="006D1B97">
        <w:rPr>
          <w:rFonts w:cs="Arial"/>
        </w:rPr>
        <w:t>represented on s</w:t>
      </w:r>
      <w:r w:rsidR="00264D41" w:rsidRPr="000F4604">
        <w:rPr>
          <w:rFonts w:cs="Arial"/>
        </w:rPr>
        <w:t>tudent forum</w:t>
      </w:r>
      <w:r w:rsidRPr="000F4604">
        <w:rPr>
          <w:rFonts w:cs="Arial"/>
        </w:rPr>
        <w:t>s</w:t>
      </w:r>
      <w:r w:rsidR="00264D41" w:rsidRPr="000F4604">
        <w:rPr>
          <w:rFonts w:cs="Arial"/>
        </w:rPr>
        <w:t xml:space="preserve"> and </w:t>
      </w:r>
      <w:r w:rsidRPr="000F4604">
        <w:rPr>
          <w:rFonts w:cs="Arial"/>
        </w:rPr>
        <w:t>Student C</w:t>
      </w:r>
      <w:r w:rsidR="00264D41" w:rsidRPr="000F4604">
        <w:rPr>
          <w:rFonts w:cs="Arial"/>
        </w:rPr>
        <w:t xml:space="preserve">ouncil meetings </w:t>
      </w:r>
      <w:r w:rsidR="006D1B97">
        <w:rPr>
          <w:rFonts w:cs="Arial"/>
        </w:rPr>
        <w:t xml:space="preserve">through the Learner Voice Coordinator, EDI rep and VP for Organisational Development. </w:t>
      </w:r>
    </w:p>
    <w:p w:rsidR="005C1904" w:rsidRPr="000F4604" w:rsidRDefault="005C1904" w:rsidP="00681CD4">
      <w:pPr>
        <w:spacing w:after="0" w:line="240" w:lineRule="auto"/>
        <w:ind w:left="720"/>
        <w:jc w:val="both"/>
        <w:rPr>
          <w:rFonts w:cs="Arial"/>
        </w:rPr>
      </w:pPr>
    </w:p>
    <w:p w:rsidR="0035471C" w:rsidRDefault="007D0B66" w:rsidP="004420D5">
      <w:pPr>
        <w:spacing w:after="0" w:line="240" w:lineRule="auto"/>
        <w:ind w:left="360"/>
        <w:rPr>
          <w:rFonts w:cs="Arial"/>
        </w:rPr>
      </w:pPr>
      <w:r>
        <w:rPr>
          <w:rFonts w:cs="Arial"/>
        </w:rPr>
        <w:t>Learners are also engaged through</w:t>
      </w:r>
      <w:r w:rsidR="0035471C" w:rsidRPr="000F4604">
        <w:rPr>
          <w:rFonts w:cs="Arial"/>
        </w:rPr>
        <w:t xml:space="preserve"> workshops and t</w:t>
      </w:r>
      <w:r>
        <w:rPr>
          <w:rFonts w:cs="Arial"/>
        </w:rPr>
        <w:t>eaching sessions at the request of curriculum staff</w:t>
      </w:r>
      <w:r w:rsidR="0035471C" w:rsidRPr="000F4604">
        <w:rPr>
          <w:rFonts w:cs="Arial"/>
        </w:rPr>
        <w:t>. For example:</w:t>
      </w:r>
    </w:p>
    <w:p w:rsidR="007D0B66" w:rsidRPr="000F4604" w:rsidRDefault="007D0B66" w:rsidP="00681CD4">
      <w:pPr>
        <w:spacing w:after="0" w:line="240" w:lineRule="auto"/>
        <w:rPr>
          <w:rFonts w:cs="Arial"/>
        </w:rPr>
      </w:pPr>
    </w:p>
    <w:p w:rsidR="0035471C" w:rsidRPr="009A2E09" w:rsidRDefault="0035471C" w:rsidP="00681CD4">
      <w:pPr>
        <w:numPr>
          <w:ilvl w:val="0"/>
          <w:numId w:val="19"/>
        </w:numPr>
        <w:spacing w:after="0" w:line="240" w:lineRule="auto"/>
        <w:rPr>
          <w:rFonts w:cs="Arial"/>
        </w:rPr>
      </w:pPr>
      <w:r w:rsidRPr="000F4604">
        <w:rPr>
          <w:rFonts w:cs="Arial"/>
          <w:color w:val="000000"/>
        </w:rPr>
        <w:t>working with a class of learners to improve their behaviour and language around different races and religions (Hair and Beauty)</w:t>
      </w:r>
    </w:p>
    <w:p w:rsidR="009A2E09" w:rsidRPr="009A2E09" w:rsidRDefault="009A2E09" w:rsidP="009A2E09">
      <w:pPr>
        <w:spacing w:after="0" w:line="240" w:lineRule="auto"/>
        <w:ind w:left="720"/>
        <w:rPr>
          <w:rFonts w:cs="Arial"/>
        </w:rPr>
      </w:pPr>
    </w:p>
    <w:p w:rsidR="0035471C" w:rsidRPr="009A2E09" w:rsidRDefault="0035471C" w:rsidP="00681CD4">
      <w:pPr>
        <w:numPr>
          <w:ilvl w:val="0"/>
          <w:numId w:val="19"/>
        </w:numPr>
        <w:spacing w:after="0" w:line="240" w:lineRule="auto"/>
        <w:rPr>
          <w:rFonts w:cs="Arial"/>
        </w:rPr>
      </w:pPr>
      <w:r w:rsidRPr="000F4604">
        <w:rPr>
          <w:rFonts w:cs="Arial"/>
          <w:color w:val="000000"/>
        </w:rPr>
        <w:t>working with classes of learners to heighten understanding of EDI in relation to working practices (Health and Social Care, Childcare, Access to Nursing) and for  assessment as part of the course</w:t>
      </w:r>
    </w:p>
    <w:p w:rsidR="00554DED" w:rsidRPr="00554DED" w:rsidRDefault="00554DED" w:rsidP="00554DED">
      <w:pPr>
        <w:spacing w:after="0" w:line="240" w:lineRule="auto"/>
        <w:ind w:left="1080"/>
        <w:rPr>
          <w:rFonts w:cs="Arial"/>
        </w:rPr>
      </w:pPr>
    </w:p>
    <w:p w:rsidR="0035471C" w:rsidRPr="009A2E09" w:rsidRDefault="0035471C" w:rsidP="00681CD4">
      <w:pPr>
        <w:numPr>
          <w:ilvl w:val="0"/>
          <w:numId w:val="19"/>
        </w:numPr>
        <w:spacing w:after="0" w:line="240" w:lineRule="auto"/>
        <w:rPr>
          <w:rFonts w:cs="Arial"/>
        </w:rPr>
      </w:pPr>
      <w:r w:rsidRPr="000F4604">
        <w:rPr>
          <w:rFonts w:cs="Arial"/>
          <w:color w:val="000000"/>
        </w:rPr>
        <w:t xml:space="preserve">supporting a transgender learner who requested a whole class session on gender identity </w:t>
      </w:r>
    </w:p>
    <w:p w:rsidR="00554DED" w:rsidRPr="00554DED" w:rsidRDefault="00554DED" w:rsidP="00554DED">
      <w:pPr>
        <w:spacing w:after="0" w:line="240" w:lineRule="auto"/>
        <w:ind w:left="1080"/>
        <w:jc w:val="both"/>
        <w:rPr>
          <w:rFonts w:cs="Arial"/>
        </w:rPr>
      </w:pPr>
    </w:p>
    <w:p w:rsidR="0035471C" w:rsidRPr="000F4604" w:rsidRDefault="0035471C" w:rsidP="00681CD4">
      <w:pPr>
        <w:numPr>
          <w:ilvl w:val="0"/>
          <w:numId w:val="19"/>
        </w:numPr>
        <w:spacing w:after="0" w:line="240" w:lineRule="auto"/>
        <w:jc w:val="both"/>
        <w:rPr>
          <w:rFonts w:cs="Arial"/>
        </w:rPr>
      </w:pPr>
      <w:r w:rsidRPr="000F4604">
        <w:rPr>
          <w:rFonts w:cs="Arial"/>
          <w:color w:val="000000"/>
        </w:rPr>
        <w:t xml:space="preserve">supporting a curriculum team with improving relations in class with a disparate group of learners </w:t>
      </w:r>
    </w:p>
    <w:p w:rsidR="007D0B66" w:rsidRDefault="007D0B66" w:rsidP="00681CD4">
      <w:pPr>
        <w:pStyle w:val="ListParagraph"/>
        <w:spacing w:after="0" w:line="240" w:lineRule="auto"/>
        <w:ind w:left="0"/>
        <w:rPr>
          <w:rFonts w:ascii="Arial" w:hAnsi="Arial" w:cs="Arial"/>
        </w:rPr>
      </w:pPr>
    </w:p>
    <w:p w:rsidR="007D0B66" w:rsidRPr="000F4604" w:rsidRDefault="007D0B66" w:rsidP="004420D5">
      <w:pPr>
        <w:pStyle w:val="ListParagraph"/>
        <w:spacing w:after="0" w:line="240" w:lineRule="auto"/>
        <w:ind w:left="360"/>
        <w:rPr>
          <w:rFonts w:ascii="Arial" w:hAnsi="Arial" w:cs="Arial"/>
        </w:rPr>
      </w:pPr>
      <w:r w:rsidRPr="000F4604">
        <w:rPr>
          <w:rFonts w:ascii="Arial" w:hAnsi="Arial" w:cs="Arial"/>
        </w:rPr>
        <w:t>Feedback from learners has shown that initiatives have had an impact and benefitted individuals:</w:t>
      </w:r>
    </w:p>
    <w:p w:rsidR="007D0B66" w:rsidRPr="000F4604" w:rsidRDefault="007D0B66" w:rsidP="00681CD4">
      <w:pPr>
        <w:pStyle w:val="ListParagraph"/>
        <w:spacing w:after="0" w:line="240" w:lineRule="auto"/>
        <w:ind w:left="0"/>
        <w:rPr>
          <w:rFonts w:ascii="Arial" w:hAnsi="Arial" w:cs="Arial"/>
        </w:rPr>
      </w:pPr>
    </w:p>
    <w:p w:rsidR="007D0B66" w:rsidRPr="00DF613D" w:rsidRDefault="007D0B66" w:rsidP="00554DED">
      <w:pPr>
        <w:pStyle w:val="ListParagraph"/>
        <w:numPr>
          <w:ilvl w:val="0"/>
          <w:numId w:val="36"/>
        </w:numPr>
        <w:spacing w:after="0" w:line="240" w:lineRule="auto"/>
        <w:rPr>
          <w:rFonts w:ascii="Arial" w:hAnsi="Arial" w:cs="Arial"/>
        </w:rPr>
      </w:pPr>
      <w:r w:rsidRPr="00554DED">
        <w:rPr>
          <w:rFonts w:cs="Arial"/>
        </w:rPr>
        <w:t>‘</w:t>
      </w:r>
      <w:r w:rsidRPr="00DF613D">
        <w:rPr>
          <w:rFonts w:ascii="Arial" w:hAnsi="Arial" w:cs="Arial"/>
          <w:i/>
        </w:rPr>
        <w:t>I learnt to be open minded towards other people’s views and opinions”.</w:t>
      </w:r>
    </w:p>
    <w:p w:rsidR="007D0B66" w:rsidRPr="00DF613D" w:rsidRDefault="007D0B66" w:rsidP="00554DED">
      <w:pPr>
        <w:pStyle w:val="ListParagraph"/>
        <w:numPr>
          <w:ilvl w:val="0"/>
          <w:numId w:val="36"/>
        </w:numPr>
        <w:spacing w:after="0" w:line="240" w:lineRule="auto"/>
        <w:jc w:val="both"/>
        <w:rPr>
          <w:rFonts w:ascii="Arial" w:hAnsi="Arial" w:cs="Arial"/>
          <w:i/>
          <w:color w:val="000000"/>
        </w:rPr>
      </w:pPr>
      <w:r w:rsidRPr="00DF613D">
        <w:rPr>
          <w:rStyle w:val="Emphasis"/>
          <w:rFonts w:ascii="Arial" w:hAnsi="Arial" w:cs="Arial"/>
          <w:color w:val="000000"/>
        </w:rPr>
        <w:t>"This has been a fantastic chance to chat to people and build bridges between the student groups”</w:t>
      </w:r>
    </w:p>
    <w:p w:rsidR="007D0B66" w:rsidRPr="00554DED" w:rsidRDefault="007D0B66" w:rsidP="00554DED">
      <w:pPr>
        <w:pStyle w:val="ListParagraph"/>
        <w:numPr>
          <w:ilvl w:val="0"/>
          <w:numId w:val="36"/>
        </w:numPr>
        <w:spacing w:after="0" w:line="240" w:lineRule="auto"/>
        <w:jc w:val="both"/>
        <w:rPr>
          <w:rFonts w:cs="Arial"/>
          <w:i/>
        </w:rPr>
      </w:pPr>
      <w:r w:rsidRPr="00DF613D">
        <w:rPr>
          <w:rFonts w:ascii="Arial" w:hAnsi="Arial" w:cs="Arial"/>
          <w:i/>
        </w:rPr>
        <w:t>“I feel as though I am a more open minded individual who appreciates other people’s views more now</w:t>
      </w:r>
      <w:r w:rsidRPr="00554DED">
        <w:rPr>
          <w:rFonts w:cs="Arial"/>
          <w:i/>
        </w:rPr>
        <w:t>”.</w:t>
      </w:r>
    </w:p>
    <w:p w:rsidR="005C1904" w:rsidRDefault="005C1904" w:rsidP="00681CD4">
      <w:pPr>
        <w:spacing w:after="0" w:line="240" w:lineRule="auto"/>
        <w:ind w:left="720"/>
        <w:jc w:val="both"/>
        <w:rPr>
          <w:rFonts w:cs="Arial"/>
        </w:rPr>
      </w:pPr>
    </w:p>
    <w:p w:rsidR="006D1B97" w:rsidRPr="000F4604" w:rsidRDefault="006D1B97" w:rsidP="00681CD4">
      <w:pPr>
        <w:spacing w:after="0" w:line="240" w:lineRule="auto"/>
        <w:ind w:left="720"/>
        <w:jc w:val="both"/>
        <w:rPr>
          <w:rFonts w:cs="Arial"/>
        </w:rPr>
      </w:pPr>
    </w:p>
    <w:p w:rsidR="000318D4" w:rsidRDefault="00312975" w:rsidP="00681CD4">
      <w:pPr>
        <w:spacing w:after="0" w:line="240" w:lineRule="auto"/>
        <w:ind w:left="720"/>
        <w:jc w:val="both"/>
        <w:rPr>
          <w:rFonts w:cs="Arial"/>
          <w:b/>
        </w:rPr>
      </w:pPr>
      <w:r w:rsidRPr="000F4604">
        <w:rPr>
          <w:rFonts w:cs="Arial"/>
          <w:b/>
        </w:rPr>
        <w:t>i</w:t>
      </w:r>
      <w:r w:rsidR="00DA1225" w:rsidRPr="000F4604">
        <w:rPr>
          <w:rFonts w:cs="Arial"/>
          <w:b/>
        </w:rPr>
        <w:t>v</w:t>
      </w:r>
      <w:r w:rsidR="00F63E1D" w:rsidRPr="000F4604">
        <w:rPr>
          <w:rFonts w:cs="Arial"/>
          <w:b/>
        </w:rPr>
        <w:t>)</w:t>
      </w:r>
      <w:r w:rsidR="00DA1225" w:rsidRPr="000F4604">
        <w:rPr>
          <w:rFonts w:cs="Arial"/>
          <w:b/>
        </w:rPr>
        <w:t xml:space="preserve"> </w:t>
      </w:r>
      <w:r w:rsidR="00DF665E" w:rsidRPr="000F4604">
        <w:rPr>
          <w:rFonts w:cs="Arial"/>
          <w:b/>
        </w:rPr>
        <w:t>Training and Development</w:t>
      </w:r>
    </w:p>
    <w:p w:rsidR="009D3F05" w:rsidRDefault="009D3F05" w:rsidP="00681CD4">
      <w:pPr>
        <w:spacing w:after="0" w:line="240" w:lineRule="auto"/>
        <w:ind w:left="720"/>
        <w:jc w:val="both"/>
        <w:rPr>
          <w:rFonts w:cs="Arial"/>
          <w:b/>
        </w:rPr>
      </w:pPr>
    </w:p>
    <w:p w:rsidR="005E507E" w:rsidRPr="000F4604" w:rsidRDefault="00E24178" w:rsidP="004420D5">
      <w:pPr>
        <w:spacing w:after="0" w:line="240" w:lineRule="auto"/>
        <w:ind w:left="360"/>
        <w:jc w:val="both"/>
        <w:rPr>
          <w:rFonts w:cs="Arial"/>
        </w:rPr>
      </w:pPr>
      <w:r>
        <w:rPr>
          <w:rFonts w:cs="Arial"/>
        </w:rPr>
        <w:t>A</w:t>
      </w:r>
      <w:r w:rsidR="004F3DAE" w:rsidRPr="000F4604">
        <w:rPr>
          <w:rFonts w:cs="Arial"/>
        </w:rPr>
        <w:t xml:space="preserve"> wide range of training opportunities for academic and support </w:t>
      </w:r>
      <w:r w:rsidR="006D1B97">
        <w:rPr>
          <w:rFonts w:cs="Arial"/>
        </w:rPr>
        <w:t>areas</w:t>
      </w:r>
      <w:r w:rsidR="004F3DAE" w:rsidRPr="000F4604">
        <w:rPr>
          <w:rFonts w:cs="Arial"/>
        </w:rPr>
        <w:t xml:space="preserve"> on EDI themes designed to improve knowledge, practice and outcomes</w:t>
      </w:r>
      <w:r>
        <w:rPr>
          <w:rFonts w:cs="Arial"/>
        </w:rPr>
        <w:t xml:space="preserve"> have been developed and delivered</w:t>
      </w:r>
      <w:r w:rsidR="0012188C" w:rsidRPr="000F4604">
        <w:rPr>
          <w:rFonts w:cs="Arial"/>
        </w:rPr>
        <w:t>.</w:t>
      </w:r>
      <w:r w:rsidR="004F3DAE" w:rsidRPr="000F4604">
        <w:rPr>
          <w:rFonts w:cs="Arial"/>
        </w:rPr>
        <w:t xml:space="preserve"> </w:t>
      </w:r>
      <w:r w:rsidR="009A2E09">
        <w:rPr>
          <w:rFonts w:cs="Arial"/>
        </w:rPr>
        <w:t>A</w:t>
      </w:r>
      <w:r w:rsidR="0050163C" w:rsidRPr="000F4604">
        <w:rPr>
          <w:rFonts w:cs="Arial"/>
        </w:rPr>
        <w:t xml:space="preserve"> key </w:t>
      </w:r>
      <w:r w:rsidR="004F3DAE" w:rsidRPr="000F4604">
        <w:rPr>
          <w:rFonts w:cs="Arial"/>
        </w:rPr>
        <w:t xml:space="preserve">focus </w:t>
      </w:r>
      <w:r w:rsidR="00312975" w:rsidRPr="000F4604">
        <w:rPr>
          <w:rFonts w:cs="Arial"/>
        </w:rPr>
        <w:t>was</w:t>
      </w:r>
      <w:r w:rsidR="0050163C" w:rsidRPr="000F4604">
        <w:rPr>
          <w:rFonts w:cs="Arial"/>
        </w:rPr>
        <w:t xml:space="preserve"> to work collaboratively with </w:t>
      </w:r>
      <w:r w:rsidR="00DF54BB" w:rsidRPr="000F4604">
        <w:rPr>
          <w:rFonts w:cs="Arial"/>
        </w:rPr>
        <w:t>academic</w:t>
      </w:r>
      <w:r w:rsidR="004F3DAE" w:rsidRPr="000F4604">
        <w:rPr>
          <w:rFonts w:cs="Arial"/>
        </w:rPr>
        <w:t xml:space="preserve"> </w:t>
      </w:r>
      <w:r w:rsidR="005E507E" w:rsidRPr="000F4604">
        <w:rPr>
          <w:rFonts w:cs="Arial"/>
        </w:rPr>
        <w:t>staff</w:t>
      </w:r>
      <w:r w:rsidR="0050163C" w:rsidRPr="000F4604">
        <w:rPr>
          <w:rFonts w:cs="Arial"/>
        </w:rPr>
        <w:t xml:space="preserve"> to </w:t>
      </w:r>
      <w:r w:rsidR="005E507E" w:rsidRPr="000F4604">
        <w:rPr>
          <w:rFonts w:cs="Arial"/>
        </w:rPr>
        <w:t xml:space="preserve">advance understanding of EDI duties and to </w:t>
      </w:r>
      <w:r w:rsidR="0050163C" w:rsidRPr="000F4604">
        <w:rPr>
          <w:rFonts w:cs="Arial"/>
        </w:rPr>
        <w:t xml:space="preserve">strengthen skills and confidence in embedding EDI in </w:t>
      </w:r>
      <w:r w:rsidR="005E507E" w:rsidRPr="000F4604">
        <w:rPr>
          <w:rFonts w:cs="Arial"/>
        </w:rPr>
        <w:t>teaching and learning</w:t>
      </w:r>
      <w:r w:rsidR="004F3DAE" w:rsidRPr="000F4604">
        <w:rPr>
          <w:rFonts w:cs="Arial"/>
        </w:rPr>
        <w:t>.</w:t>
      </w:r>
      <w:r w:rsidR="005E507E" w:rsidRPr="000F4604">
        <w:rPr>
          <w:rFonts w:cs="Arial"/>
        </w:rPr>
        <w:t xml:space="preserve"> </w:t>
      </w:r>
      <w:r w:rsidR="00F63E1D" w:rsidRPr="000F4604">
        <w:rPr>
          <w:rFonts w:cs="Arial"/>
        </w:rPr>
        <w:t xml:space="preserve"> </w:t>
      </w:r>
      <w:r w:rsidR="004F3DAE" w:rsidRPr="000F4604">
        <w:rPr>
          <w:rFonts w:cs="Arial"/>
        </w:rPr>
        <w:t>Actions included:</w:t>
      </w:r>
    </w:p>
    <w:p w:rsidR="00A262B9" w:rsidRPr="000F4604" w:rsidRDefault="00A262B9" w:rsidP="00681CD4">
      <w:pPr>
        <w:spacing w:after="0" w:line="240" w:lineRule="auto"/>
        <w:ind w:left="720"/>
        <w:jc w:val="both"/>
        <w:rPr>
          <w:rFonts w:cs="Arial"/>
        </w:rPr>
      </w:pPr>
    </w:p>
    <w:p w:rsidR="00A262B9" w:rsidRDefault="00A262B9" w:rsidP="00681CD4">
      <w:pPr>
        <w:pStyle w:val="ListParagraph"/>
        <w:numPr>
          <w:ilvl w:val="0"/>
          <w:numId w:val="24"/>
        </w:numPr>
        <w:spacing w:after="0" w:line="240" w:lineRule="auto"/>
        <w:jc w:val="both"/>
        <w:rPr>
          <w:rFonts w:ascii="Arial" w:hAnsi="Arial" w:cs="Arial"/>
        </w:rPr>
      </w:pPr>
      <w:r w:rsidRPr="000F4604">
        <w:rPr>
          <w:rFonts w:ascii="Arial" w:hAnsi="Arial" w:cs="Arial"/>
        </w:rPr>
        <w:t>Review of SARs, SSR data trends, and observation reports to identify training needs across business and curriculum areas on a range of subjects designed to improve knowledge and practice for staff and outcomes for learners</w:t>
      </w:r>
      <w:r w:rsidR="009A2E09">
        <w:rPr>
          <w:rFonts w:ascii="Arial" w:hAnsi="Arial" w:cs="Arial"/>
        </w:rPr>
        <w:t>.</w:t>
      </w:r>
    </w:p>
    <w:p w:rsidR="009A2E09" w:rsidRPr="000F4604" w:rsidRDefault="009A2E09" w:rsidP="009A2E09">
      <w:pPr>
        <w:pStyle w:val="ListParagraph"/>
        <w:spacing w:after="0" w:line="240" w:lineRule="auto"/>
        <w:jc w:val="both"/>
        <w:rPr>
          <w:rFonts w:ascii="Arial" w:hAnsi="Arial" w:cs="Arial"/>
        </w:rPr>
      </w:pPr>
    </w:p>
    <w:p w:rsidR="006E016C" w:rsidRDefault="006E016C" w:rsidP="004420D5">
      <w:pPr>
        <w:pStyle w:val="Default"/>
        <w:numPr>
          <w:ilvl w:val="0"/>
          <w:numId w:val="5"/>
        </w:numPr>
        <w:ind w:left="1134" w:hanging="425"/>
        <w:jc w:val="both"/>
        <w:rPr>
          <w:sz w:val="22"/>
          <w:szCs w:val="22"/>
        </w:rPr>
      </w:pPr>
      <w:r w:rsidRPr="000F4604">
        <w:rPr>
          <w:sz w:val="22"/>
          <w:szCs w:val="22"/>
        </w:rPr>
        <w:t>Delivery of one to one, small group and whole team coaching/support/trai</w:t>
      </w:r>
      <w:r w:rsidR="009A2E09">
        <w:rPr>
          <w:sz w:val="22"/>
          <w:szCs w:val="22"/>
        </w:rPr>
        <w:t>ning to both staff and learners.</w:t>
      </w:r>
    </w:p>
    <w:p w:rsidR="009A2E09" w:rsidRDefault="009A2E09" w:rsidP="009A2E09">
      <w:pPr>
        <w:pStyle w:val="Default"/>
        <w:ind w:left="709"/>
        <w:jc w:val="both"/>
        <w:rPr>
          <w:sz w:val="22"/>
          <w:szCs w:val="22"/>
        </w:rPr>
      </w:pPr>
    </w:p>
    <w:p w:rsidR="006E016C" w:rsidRPr="000F4604" w:rsidRDefault="006E016C" w:rsidP="00681CD4">
      <w:pPr>
        <w:numPr>
          <w:ilvl w:val="0"/>
          <w:numId w:val="24"/>
        </w:numPr>
        <w:spacing w:after="0" w:line="240" w:lineRule="auto"/>
        <w:rPr>
          <w:rFonts w:cs="Arial"/>
        </w:rPr>
      </w:pPr>
      <w:r w:rsidRPr="000F4604">
        <w:rPr>
          <w:rFonts w:cs="Arial"/>
        </w:rPr>
        <w:t>Participation of a range of staff in the development of the third EDI online training programme and contributions to the online EDI toolkit have advanced understanding of individuals’ EDI duties ; and strengthened abilities and confidence to embed EDI in teaching and learning.</w:t>
      </w:r>
    </w:p>
    <w:p w:rsidR="00A262B9" w:rsidRPr="000F4604" w:rsidRDefault="00A262B9" w:rsidP="00681CD4">
      <w:pPr>
        <w:spacing w:after="0" w:line="240" w:lineRule="auto"/>
        <w:jc w:val="both"/>
        <w:rPr>
          <w:rFonts w:cs="Arial"/>
        </w:rPr>
      </w:pPr>
    </w:p>
    <w:p w:rsidR="005C1EE1" w:rsidRPr="000F4604" w:rsidRDefault="0009354F" w:rsidP="009D3F05">
      <w:pPr>
        <w:pStyle w:val="Default"/>
        <w:ind w:left="426"/>
        <w:jc w:val="both"/>
        <w:rPr>
          <w:sz w:val="22"/>
          <w:szCs w:val="22"/>
        </w:rPr>
      </w:pPr>
      <w:r>
        <w:rPr>
          <w:sz w:val="22"/>
          <w:szCs w:val="22"/>
        </w:rPr>
        <w:t>Last year</w:t>
      </w:r>
      <w:r w:rsidR="00A262B9" w:rsidRPr="000F4604">
        <w:rPr>
          <w:sz w:val="22"/>
          <w:szCs w:val="22"/>
        </w:rPr>
        <w:t xml:space="preserve"> training was delivered to 110 staff members including the Business Engagement team, library staff, learning support assistants, engineering lecturers, workplace assessors, community lecturers and a cohort of new teachers. Sessions </w:t>
      </w:r>
      <w:r w:rsidR="00A262B9" w:rsidRPr="000F4604">
        <w:rPr>
          <w:sz w:val="22"/>
          <w:szCs w:val="22"/>
        </w:rPr>
        <w:lastRenderedPageBreak/>
        <w:t>included Integrating EDI in Workplace Learning, Language Equality, Equality, Diversity and Effective practice and Embracing and Embedding EDI in the classroom</w:t>
      </w:r>
      <w:r w:rsidR="006D1B97">
        <w:rPr>
          <w:sz w:val="22"/>
          <w:szCs w:val="22"/>
        </w:rPr>
        <w:t xml:space="preserve">. </w:t>
      </w:r>
      <w:r w:rsidR="005C1EE1" w:rsidRPr="000F4604">
        <w:rPr>
          <w:sz w:val="22"/>
          <w:szCs w:val="22"/>
        </w:rPr>
        <w:t>Deliver</w:t>
      </w:r>
      <w:r w:rsidR="00772960" w:rsidRPr="000F4604">
        <w:rPr>
          <w:sz w:val="22"/>
          <w:szCs w:val="22"/>
        </w:rPr>
        <w:t>y</w:t>
      </w:r>
      <w:r w:rsidR="005C1EE1" w:rsidRPr="000F4604">
        <w:rPr>
          <w:sz w:val="22"/>
          <w:szCs w:val="22"/>
        </w:rPr>
        <w:t xml:space="preserve"> of training to the Business Engagement team on integrating EDI in </w:t>
      </w:r>
      <w:r w:rsidR="00E24178">
        <w:rPr>
          <w:sz w:val="22"/>
          <w:szCs w:val="22"/>
        </w:rPr>
        <w:t xml:space="preserve">the </w:t>
      </w:r>
      <w:r w:rsidR="005C1EE1" w:rsidRPr="000F4604">
        <w:rPr>
          <w:sz w:val="22"/>
          <w:szCs w:val="22"/>
        </w:rPr>
        <w:t>Apprenticeship journey</w:t>
      </w:r>
      <w:r w:rsidR="00772960" w:rsidRPr="000F4604">
        <w:rPr>
          <w:sz w:val="22"/>
          <w:szCs w:val="22"/>
        </w:rPr>
        <w:t xml:space="preserve"> led to direct changes to team approach to recruits.</w:t>
      </w:r>
    </w:p>
    <w:p w:rsidR="006E016C" w:rsidRPr="000F4604" w:rsidRDefault="006E016C" w:rsidP="00681CD4">
      <w:pPr>
        <w:spacing w:after="0" w:line="240" w:lineRule="auto"/>
        <w:contextualSpacing/>
        <w:jc w:val="both"/>
        <w:rPr>
          <w:rFonts w:cs="Arial"/>
        </w:rPr>
      </w:pPr>
    </w:p>
    <w:p w:rsidR="00A262B9" w:rsidRPr="000F4604" w:rsidRDefault="00A262B9" w:rsidP="009D3F05">
      <w:pPr>
        <w:pStyle w:val="Default"/>
        <w:ind w:left="426"/>
        <w:jc w:val="both"/>
        <w:rPr>
          <w:sz w:val="22"/>
          <w:szCs w:val="22"/>
        </w:rPr>
      </w:pPr>
      <w:r w:rsidRPr="000F4604">
        <w:rPr>
          <w:sz w:val="22"/>
          <w:szCs w:val="22"/>
        </w:rPr>
        <w:t>Informal visits to team meetings to discuss EDI practice were</w:t>
      </w:r>
      <w:r w:rsidR="0009354F">
        <w:rPr>
          <w:sz w:val="22"/>
          <w:szCs w:val="22"/>
        </w:rPr>
        <w:t xml:space="preserve"> also</w:t>
      </w:r>
      <w:r w:rsidRPr="000F4604">
        <w:rPr>
          <w:sz w:val="22"/>
          <w:szCs w:val="22"/>
        </w:rPr>
        <w:t xml:space="preserve"> made  for example to the Hair and Beauty team and Computing and IT team to discuss specifically the barriers teachers are facing in promoting diversity in the classroom; Art and Design, Motor Vehicle; Childcare, GCSE and Functional Skills to discuss Ofsted requirements.</w:t>
      </w:r>
    </w:p>
    <w:p w:rsidR="006E016C" w:rsidRPr="000F4604" w:rsidRDefault="006E016C" w:rsidP="009D3F05">
      <w:pPr>
        <w:pStyle w:val="Default"/>
        <w:ind w:left="426"/>
        <w:jc w:val="both"/>
        <w:rPr>
          <w:sz w:val="22"/>
          <w:szCs w:val="22"/>
        </w:rPr>
      </w:pPr>
    </w:p>
    <w:p w:rsidR="00A262B9" w:rsidRPr="000F4604" w:rsidRDefault="00A262B9" w:rsidP="009D3F05">
      <w:pPr>
        <w:pStyle w:val="Default"/>
        <w:ind w:left="426"/>
        <w:jc w:val="both"/>
        <w:rPr>
          <w:sz w:val="22"/>
          <w:szCs w:val="22"/>
        </w:rPr>
      </w:pPr>
      <w:r w:rsidRPr="000F4604">
        <w:rPr>
          <w:sz w:val="22"/>
          <w:szCs w:val="22"/>
        </w:rPr>
        <w:t xml:space="preserve">1 to 1 meetings with individual staff members for coaching and support </w:t>
      </w:r>
      <w:r w:rsidR="006D1B97">
        <w:rPr>
          <w:sz w:val="22"/>
          <w:szCs w:val="22"/>
        </w:rPr>
        <w:t xml:space="preserve">were also taken up </w:t>
      </w:r>
      <w:r w:rsidRPr="000F4604">
        <w:rPr>
          <w:sz w:val="22"/>
          <w:szCs w:val="22"/>
        </w:rPr>
        <w:t xml:space="preserve">to </w:t>
      </w:r>
      <w:r w:rsidR="006D1B97">
        <w:rPr>
          <w:sz w:val="22"/>
          <w:szCs w:val="22"/>
        </w:rPr>
        <w:t xml:space="preserve">for example </w:t>
      </w:r>
      <w:r w:rsidRPr="000F4604">
        <w:rPr>
          <w:sz w:val="22"/>
          <w:szCs w:val="22"/>
        </w:rPr>
        <w:t>enhanc</w:t>
      </w:r>
      <w:r w:rsidR="0009354F">
        <w:rPr>
          <w:sz w:val="22"/>
          <w:szCs w:val="22"/>
        </w:rPr>
        <w:t>ing</w:t>
      </w:r>
      <w:r w:rsidRPr="000F4604">
        <w:rPr>
          <w:sz w:val="22"/>
          <w:szCs w:val="22"/>
        </w:rPr>
        <w:t xml:space="preserve"> understanding or reflect</w:t>
      </w:r>
      <w:r w:rsidR="0009354F">
        <w:rPr>
          <w:sz w:val="22"/>
          <w:szCs w:val="22"/>
        </w:rPr>
        <w:t>ing</w:t>
      </w:r>
      <w:r w:rsidRPr="000F4604">
        <w:rPr>
          <w:sz w:val="22"/>
          <w:szCs w:val="22"/>
        </w:rPr>
        <w:t xml:space="preserve"> on teaching practice and behaviours.</w:t>
      </w:r>
    </w:p>
    <w:p w:rsidR="00A262B9" w:rsidRPr="000F4604" w:rsidRDefault="00A262B9" w:rsidP="009D3F05">
      <w:pPr>
        <w:pStyle w:val="Default"/>
        <w:ind w:left="426"/>
        <w:jc w:val="both"/>
        <w:rPr>
          <w:sz w:val="22"/>
          <w:szCs w:val="22"/>
        </w:rPr>
      </w:pPr>
    </w:p>
    <w:p w:rsidR="00F25FE0" w:rsidRPr="006D1B97" w:rsidRDefault="0009354F" w:rsidP="009D3F05">
      <w:pPr>
        <w:spacing w:after="0" w:line="240" w:lineRule="auto"/>
        <w:ind w:left="426"/>
        <w:jc w:val="both"/>
        <w:rPr>
          <w:rFonts w:cs="Arial"/>
        </w:rPr>
      </w:pPr>
      <w:r>
        <w:rPr>
          <w:rFonts w:cs="Arial"/>
        </w:rPr>
        <w:t>Last year EDI training</w:t>
      </w:r>
      <w:r w:rsidR="006E016C" w:rsidRPr="006D1B97">
        <w:rPr>
          <w:rFonts w:cs="Arial"/>
        </w:rPr>
        <w:t xml:space="preserve"> was delivered </w:t>
      </w:r>
      <w:r>
        <w:rPr>
          <w:rFonts w:cs="Arial"/>
        </w:rPr>
        <w:t xml:space="preserve">by the EDI Advisor </w:t>
      </w:r>
      <w:r w:rsidR="006E016C" w:rsidRPr="006D1B97">
        <w:rPr>
          <w:rFonts w:cs="Arial"/>
        </w:rPr>
        <w:t>to</w:t>
      </w:r>
      <w:r w:rsidR="00F25FE0" w:rsidRPr="006D1B97">
        <w:rPr>
          <w:rFonts w:cs="Arial"/>
        </w:rPr>
        <w:t xml:space="preserve"> 464 learners.  Sessions delivered included: Equality and Effective Practice, Equality and Language; Equality, Diversity &amp; Human Rights; Diversity and Community; Immigration, myths and facts; Discrimination and Harassment; and an Introduction to EDI.  Learners were from a range of curriculum areas including Health and Social Care, Childcare, Hair and Beauty, Forensic Science, Horizons, ESOL, EFL, Public Services, Travel and Tourism and Access to Higher Education.  Learners were on entry level</w:t>
      </w:r>
      <w:r>
        <w:rPr>
          <w:rFonts w:cs="Arial"/>
        </w:rPr>
        <w:t>,</w:t>
      </w:r>
      <w:r w:rsidR="00F25FE0" w:rsidRPr="006D1B97">
        <w:rPr>
          <w:rFonts w:cs="Arial"/>
        </w:rPr>
        <w:t xml:space="preserve"> level 1, 2 and 3 courses as well as foundation degree programmes (CYPS). Sessions were tailored to vocational areas to inform understanding of equality, diversity and effective practice in an occupational context as well as to highlight College standards of behaviour.</w:t>
      </w:r>
    </w:p>
    <w:p w:rsidR="00F25FE0" w:rsidRPr="000F4604" w:rsidRDefault="00F25FE0" w:rsidP="009D3F05">
      <w:pPr>
        <w:spacing w:after="0" w:line="240" w:lineRule="auto"/>
        <w:ind w:left="426"/>
        <w:contextualSpacing/>
        <w:jc w:val="both"/>
        <w:rPr>
          <w:rFonts w:cs="Arial"/>
        </w:rPr>
      </w:pPr>
    </w:p>
    <w:p w:rsidR="00A262B9" w:rsidRPr="000F4604" w:rsidRDefault="00A262B9" w:rsidP="009D3F05">
      <w:pPr>
        <w:pStyle w:val="Default"/>
        <w:ind w:left="426"/>
        <w:jc w:val="both"/>
        <w:rPr>
          <w:sz w:val="22"/>
          <w:szCs w:val="22"/>
        </w:rPr>
      </w:pPr>
      <w:r w:rsidRPr="000F4604">
        <w:rPr>
          <w:sz w:val="22"/>
          <w:szCs w:val="22"/>
        </w:rPr>
        <w:t>Training evaluation evidences that 98% of those who completed a feedback form said the training was good or better overall; and that 97% of staff said that their knowledge and confidence had im</w:t>
      </w:r>
      <w:r w:rsidR="006E016C" w:rsidRPr="000F4604">
        <w:rPr>
          <w:sz w:val="22"/>
          <w:szCs w:val="22"/>
        </w:rPr>
        <w:t>proved as a result of training</w:t>
      </w:r>
      <w:r w:rsidR="0009354F">
        <w:rPr>
          <w:sz w:val="22"/>
          <w:szCs w:val="22"/>
        </w:rPr>
        <w:t>.</w:t>
      </w:r>
      <w:r w:rsidR="006E016C" w:rsidRPr="000F4604">
        <w:rPr>
          <w:sz w:val="22"/>
          <w:szCs w:val="22"/>
        </w:rPr>
        <w:t xml:space="preserve"> </w:t>
      </w:r>
    </w:p>
    <w:p w:rsidR="006E016C" w:rsidRPr="000F4604" w:rsidRDefault="006E016C" w:rsidP="009D3F05">
      <w:pPr>
        <w:pStyle w:val="Default"/>
        <w:ind w:left="426"/>
        <w:jc w:val="both"/>
        <w:rPr>
          <w:sz w:val="22"/>
          <w:szCs w:val="22"/>
        </w:rPr>
      </w:pPr>
    </w:p>
    <w:p w:rsidR="00A262B9" w:rsidRDefault="00A262B9" w:rsidP="009D3F05">
      <w:pPr>
        <w:pStyle w:val="Default"/>
        <w:ind w:left="426"/>
        <w:jc w:val="both"/>
        <w:rPr>
          <w:rFonts w:eastAsia="Times New Roman"/>
          <w:sz w:val="22"/>
          <w:szCs w:val="22"/>
        </w:rPr>
      </w:pPr>
      <w:r w:rsidRPr="000F4604">
        <w:rPr>
          <w:sz w:val="22"/>
          <w:szCs w:val="22"/>
        </w:rPr>
        <w:t>Evidence of progress made with regard to embedding EDI in teaching and learning can be found in lesson observation reports. Out of 345 lesson observations in 14-15 65% of lessons evidenced that “</w:t>
      </w:r>
      <w:r w:rsidR="00E24178">
        <w:rPr>
          <w:sz w:val="22"/>
          <w:szCs w:val="22"/>
        </w:rPr>
        <w:t>o</w:t>
      </w:r>
      <w:r w:rsidRPr="000F4604">
        <w:rPr>
          <w:rFonts w:eastAsia="Times New Roman"/>
          <w:sz w:val="22"/>
          <w:szCs w:val="22"/>
        </w:rPr>
        <w:t xml:space="preserve">pportunities existed and were taken to promote Equality and Diversity” compared to 53% of lessons observed in </w:t>
      </w:r>
      <w:r w:rsidR="0009354F">
        <w:rPr>
          <w:rFonts w:eastAsia="Times New Roman"/>
          <w:sz w:val="22"/>
          <w:szCs w:val="22"/>
        </w:rPr>
        <w:t>20</w:t>
      </w:r>
      <w:r w:rsidRPr="000F4604">
        <w:rPr>
          <w:rFonts w:eastAsia="Times New Roman"/>
          <w:sz w:val="22"/>
          <w:szCs w:val="22"/>
        </w:rPr>
        <w:t>13-</w:t>
      </w:r>
      <w:r w:rsidR="0009354F">
        <w:rPr>
          <w:rFonts w:eastAsia="Times New Roman"/>
          <w:sz w:val="22"/>
          <w:szCs w:val="22"/>
        </w:rPr>
        <w:t>20</w:t>
      </w:r>
      <w:r w:rsidRPr="000F4604">
        <w:rPr>
          <w:rFonts w:eastAsia="Times New Roman"/>
          <w:sz w:val="22"/>
          <w:szCs w:val="22"/>
        </w:rPr>
        <w:t xml:space="preserve">14 (388). 15% of lessons </w:t>
      </w:r>
      <w:r w:rsidR="0009354F">
        <w:rPr>
          <w:rFonts w:eastAsia="Times New Roman"/>
          <w:sz w:val="22"/>
          <w:szCs w:val="22"/>
        </w:rPr>
        <w:t>last year</w:t>
      </w:r>
      <w:r w:rsidRPr="000F4604">
        <w:rPr>
          <w:rFonts w:eastAsia="Times New Roman"/>
          <w:sz w:val="22"/>
          <w:szCs w:val="22"/>
        </w:rPr>
        <w:t xml:space="preserve"> partially met the criteria to promote Equality and Diversity (no comparable data available for 13-14). Positively only 4% of sessions were noted as “not applicable” for this criteria compared to 30% in 13-14. </w:t>
      </w:r>
    </w:p>
    <w:p w:rsidR="007C13E6" w:rsidRDefault="007C13E6" w:rsidP="009D3F05">
      <w:pPr>
        <w:pStyle w:val="Default"/>
        <w:ind w:left="426"/>
        <w:jc w:val="both"/>
        <w:rPr>
          <w:rFonts w:eastAsia="Times New Roman"/>
          <w:sz w:val="22"/>
          <w:szCs w:val="22"/>
        </w:rPr>
      </w:pPr>
    </w:p>
    <w:p w:rsidR="00A262B9" w:rsidRPr="000F4604" w:rsidRDefault="00A262B9" w:rsidP="009D3F05">
      <w:pPr>
        <w:pStyle w:val="Default"/>
        <w:ind w:left="426"/>
        <w:jc w:val="both"/>
        <w:rPr>
          <w:rFonts w:eastAsia="Times New Roman"/>
          <w:sz w:val="22"/>
          <w:szCs w:val="22"/>
        </w:rPr>
      </w:pPr>
      <w:r w:rsidRPr="000F4604">
        <w:rPr>
          <w:rFonts w:eastAsia="Times New Roman"/>
          <w:sz w:val="22"/>
          <w:szCs w:val="22"/>
        </w:rPr>
        <w:t>Key themes from the observations are as follows:</w:t>
      </w:r>
    </w:p>
    <w:p w:rsidR="00A262B9" w:rsidRPr="000F4604" w:rsidRDefault="00A262B9" w:rsidP="009D3F05">
      <w:pPr>
        <w:pStyle w:val="Default"/>
        <w:numPr>
          <w:ilvl w:val="0"/>
          <w:numId w:val="24"/>
        </w:numPr>
        <w:rPr>
          <w:rFonts w:eastAsia="Times New Roman"/>
          <w:sz w:val="22"/>
          <w:szCs w:val="22"/>
        </w:rPr>
      </w:pPr>
      <w:r w:rsidRPr="000F4604">
        <w:rPr>
          <w:sz w:val="22"/>
          <w:szCs w:val="22"/>
        </w:rPr>
        <w:t>Good levels of respect are present in most classrooms</w:t>
      </w:r>
    </w:p>
    <w:p w:rsidR="00A262B9" w:rsidRPr="000F4604" w:rsidRDefault="00A262B9" w:rsidP="009D3F05">
      <w:pPr>
        <w:pStyle w:val="Default"/>
        <w:numPr>
          <w:ilvl w:val="0"/>
          <w:numId w:val="24"/>
        </w:numPr>
        <w:rPr>
          <w:rFonts w:eastAsia="Times New Roman"/>
          <w:sz w:val="22"/>
          <w:szCs w:val="22"/>
        </w:rPr>
      </w:pPr>
      <w:r w:rsidRPr="000F4604">
        <w:rPr>
          <w:sz w:val="22"/>
          <w:szCs w:val="22"/>
        </w:rPr>
        <w:t>Good individual and group support is available and students are supportive of each other in the main</w:t>
      </w:r>
    </w:p>
    <w:p w:rsidR="00A262B9" w:rsidRPr="000F4604" w:rsidRDefault="00A262B9" w:rsidP="009D3F05">
      <w:pPr>
        <w:pStyle w:val="Default"/>
        <w:numPr>
          <w:ilvl w:val="0"/>
          <w:numId w:val="24"/>
        </w:numPr>
        <w:rPr>
          <w:rFonts w:eastAsia="Times New Roman"/>
          <w:sz w:val="22"/>
          <w:szCs w:val="22"/>
        </w:rPr>
      </w:pPr>
      <w:r w:rsidRPr="000F4604">
        <w:rPr>
          <w:sz w:val="22"/>
          <w:szCs w:val="22"/>
        </w:rPr>
        <w:t>The learning environment is well suited to the needs of most learners</w:t>
      </w:r>
    </w:p>
    <w:p w:rsidR="00A262B9" w:rsidRPr="000F4604" w:rsidRDefault="00A262B9" w:rsidP="009D3F05">
      <w:pPr>
        <w:pStyle w:val="Default"/>
        <w:numPr>
          <w:ilvl w:val="0"/>
          <w:numId w:val="24"/>
        </w:numPr>
        <w:rPr>
          <w:rFonts w:eastAsia="Times New Roman"/>
          <w:sz w:val="22"/>
          <w:szCs w:val="22"/>
        </w:rPr>
      </w:pPr>
      <w:r w:rsidRPr="000F4604">
        <w:rPr>
          <w:sz w:val="22"/>
          <w:szCs w:val="22"/>
        </w:rPr>
        <w:t>The environment is inclusive and welcoming</w:t>
      </w:r>
    </w:p>
    <w:p w:rsidR="00A262B9" w:rsidRPr="000F4604" w:rsidRDefault="00A262B9" w:rsidP="009D3F05">
      <w:pPr>
        <w:pStyle w:val="Default"/>
        <w:numPr>
          <w:ilvl w:val="0"/>
          <w:numId w:val="24"/>
        </w:numPr>
        <w:rPr>
          <w:rFonts w:eastAsia="Times New Roman"/>
          <w:sz w:val="22"/>
          <w:szCs w:val="22"/>
        </w:rPr>
      </w:pPr>
      <w:r w:rsidRPr="000F4604">
        <w:rPr>
          <w:sz w:val="22"/>
          <w:szCs w:val="22"/>
        </w:rPr>
        <w:t>Learners are both supported and challenged in the main</w:t>
      </w:r>
    </w:p>
    <w:p w:rsidR="00A262B9" w:rsidRPr="000F4604" w:rsidRDefault="00A262B9" w:rsidP="009D3F05">
      <w:pPr>
        <w:pStyle w:val="Default"/>
        <w:numPr>
          <w:ilvl w:val="0"/>
          <w:numId w:val="24"/>
        </w:numPr>
        <w:rPr>
          <w:rFonts w:eastAsia="Times New Roman"/>
          <w:sz w:val="22"/>
          <w:szCs w:val="22"/>
        </w:rPr>
      </w:pPr>
      <w:r w:rsidRPr="000F4604">
        <w:rPr>
          <w:sz w:val="22"/>
          <w:szCs w:val="22"/>
        </w:rPr>
        <w:t>Promotion of EDI is sound and effective more often than not</w:t>
      </w:r>
    </w:p>
    <w:p w:rsidR="004420D5" w:rsidRDefault="00A262B9" w:rsidP="009D3F05">
      <w:pPr>
        <w:pStyle w:val="Default"/>
        <w:numPr>
          <w:ilvl w:val="0"/>
          <w:numId w:val="24"/>
        </w:numPr>
        <w:rPr>
          <w:sz w:val="22"/>
          <w:szCs w:val="22"/>
        </w:rPr>
      </w:pPr>
      <w:r w:rsidRPr="004420D5">
        <w:rPr>
          <w:sz w:val="22"/>
          <w:szCs w:val="22"/>
        </w:rPr>
        <w:t>Lack of differentiation for some groups</w:t>
      </w:r>
    </w:p>
    <w:p w:rsidR="00A262B9" w:rsidRPr="000F4604" w:rsidRDefault="004420D5" w:rsidP="009D3F05">
      <w:pPr>
        <w:pStyle w:val="Default"/>
        <w:numPr>
          <w:ilvl w:val="0"/>
          <w:numId w:val="24"/>
        </w:numPr>
        <w:rPr>
          <w:rFonts w:eastAsia="Times New Roman"/>
          <w:sz w:val="22"/>
          <w:szCs w:val="22"/>
        </w:rPr>
      </w:pPr>
      <w:r>
        <w:rPr>
          <w:sz w:val="22"/>
          <w:szCs w:val="22"/>
        </w:rPr>
        <w:t>I</w:t>
      </w:r>
      <w:r w:rsidR="00A262B9" w:rsidRPr="000F4604">
        <w:rPr>
          <w:sz w:val="22"/>
          <w:szCs w:val="22"/>
        </w:rPr>
        <w:t>nappropriate language or / and conduct is not always challenged.</w:t>
      </w:r>
      <w:r w:rsidR="00A262B9" w:rsidRPr="000F4604">
        <w:rPr>
          <w:sz w:val="22"/>
          <w:szCs w:val="22"/>
        </w:rPr>
        <w:br/>
      </w:r>
    </w:p>
    <w:p w:rsidR="00A262B9" w:rsidRPr="000F4604" w:rsidRDefault="00A262B9" w:rsidP="009D3F05">
      <w:pPr>
        <w:pStyle w:val="Default"/>
        <w:ind w:left="426"/>
        <w:jc w:val="both"/>
        <w:rPr>
          <w:rFonts w:eastAsia="Times New Roman"/>
          <w:sz w:val="22"/>
          <w:szCs w:val="22"/>
        </w:rPr>
      </w:pPr>
      <w:r w:rsidRPr="000F4604">
        <w:rPr>
          <w:rFonts w:eastAsia="Times New Roman"/>
          <w:sz w:val="22"/>
          <w:szCs w:val="22"/>
        </w:rPr>
        <w:t>There are a good range of statements from T</w:t>
      </w:r>
      <w:r w:rsidR="006E016C" w:rsidRPr="000F4604">
        <w:rPr>
          <w:rFonts w:eastAsia="Times New Roman"/>
          <w:sz w:val="22"/>
          <w:szCs w:val="22"/>
        </w:rPr>
        <w:t xml:space="preserve">eaching </w:t>
      </w:r>
      <w:r w:rsidRPr="000F4604">
        <w:rPr>
          <w:rFonts w:eastAsia="Times New Roman"/>
          <w:sz w:val="22"/>
          <w:szCs w:val="22"/>
        </w:rPr>
        <w:t>L</w:t>
      </w:r>
      <w:r w:rsidR="006E016C" w:rsidRPr="000F4604">
        <w:rPr>
          <w:rFonts w:eastAsia="Times New Roman"/>
          <w:sz w:val="22"/>
          <w:szCs w:val="22"/>
        </w:rPr>
        <w:t xml:space="preserve">earning </w:t>
      </w:r>
      <w:r w:rsidRPr="000F4604">
        <w:rPr>
          <w:rFonts w:eastAsia="Times New Roman"/>
          <w:sz w:val="22"/>
          <w:szCs w:val="22"/>
        </w:rPr>
        <w:t>C</w:t>
      </w:r>
      <w:r w:rsidR="006E016C" w:rsidRPr="000F4604">
        <w:rPr>
          <w:rFonts w:eastAsia="Times New Roman"/>
          <w:sz w:val="22"/>
          <w:szCs w:val="22"/>
        </w:rPr>
        <w:t>oache</w:t>
      </w:r>
      <w:r w:rsidRPr="000F4604">
        <w:rPr>
          <w:rFonts w:eastAsia="Times New Roman"/>
          <w:sz w:val="22"/>
          <w:szCs w:val="22"/>
        </w:rPr>
        <w:t>s to evidence improvement in the promotion of diversity in the classroom, for example:</w:t>
      </w:r>
    </w:p>
    <w:p w:rsidR="00A262B9" w:rsidRPr="000F4604" w:rsidRDefault="00A262B9" w:rsidP="009D3F05">
      <w:pPr>
        <w:pStyle w:val="Default"/>
        <w:ind w:left="426"/>
        <w:jc w:val="both"/>
        <w:rPr>
          <w:rFonts w:eastAsia="Times New Roman"/>
          <w:sz w:val="22"/>
          <w:szCs w:val="22"/>
        </w:rPr>
      </w:pPr>
    </w:p>
    <w:p w:rsidR="00A262B9" w:rsidRPr="00E24178" w:rsidRDefault="00A262B9" w:rsidP="009D3F05">
      <w:pPr>
        <w:pStyle w:val="ListParagraph"/>
        <w:numPr>
          <w:ilvl w:val="0"/>
          <w:numId w:val="31"/>
        </w:numPr>
        <w:spacing w:after="0" w:line="240" w:lineRule="auto"/>
        <w:jc w:val="both"/>
        <w:rPr>
          <w:rFonts w:ascii="Arial" w:eastAsia="Calibri" w:hAnsi="Arial" w:cs="Arial"/>
        </w:rPr>
      </w:pPr>
      <w:r w:rsidRPr="00E24178">
        <w:rPr>
          <w:rFonts w:ascii="Arial" w:hAnsi="Arial" w:cs="Arial"/>
        </w:rPr>
        <w:t>‘A respectful and inclusive environment was established which meant that all learners were able to work alongside and with each other comfortably despite their diverse starting points and backgrounds. This was conducive to learning.’</w:t>
      </w:r>
    </w:p>
    <w:p w:rsidR="0009354F" w:rsidRPr="000F4604" w:rsidRDefault="0009354F" w:rsidP="009D3F05">
      <w:pPr>
        <w:spacing w:after="0" w:line="240" w:lineRule="auto"/>
        <w:ind w:left="426"/>
        <w:jc w:val="both"/>
        <w:rPr>
          <w:rFonts w:eastAsia="Calibri" w:cs="Arial"/>
        </w:rPr>
      </w:pPr>
    </w:p>
    <w:p w:rsidR="00A262B9" w:rsidRPr="000F4604" w:rsidRDefault="00A262B9" w:rsidP="009D3F05">
      <w:pPr>
        <w:pStyle w:val="Default"/>
        <w:numPr>
          <w:ilvl w:val="0"/>
          <w:numId w:val="31"/>
        </w:numPr>
        <w:jc w:val="both"/>
        <w:rPr>
          <w:sz w:val="22"/>
          <w:szCs w:val="22"/>
        </w:rPr>
      </w:pPr>
      <w:r w:rsidRPr="000F4604">
        <w:rPr>
          <w:sz w:val="22"/>
          <w:szCs w:val="22"/>
        </w:rPr>
        <w:t xml:space="preserve">“Celebration of diversity is well-catered for in the lesson with both teacher and many learners sharing stories and making contributions around cultural differences around childbirth, parenting, and life events such as funerals.  This is done with respect and all students engage and either contribute or listen actively.  </w:t>
      </w:r>
    </w:p>
    <w:p w:rsidR="0035471C" w:rsidRPr="000F4604" w:rsidRDefault="0035471C" w:rsidP="00681CD4">
      <w:pPr>
        <w:spacing w:after="0" w:line="240" w:lineRule="auto"/>
        <w:ind w:left="720"/>
        <w:jc w:val="both"/>
        <w:rPr>
          <w:rFonts w:cs="Arial"/>
          <w:color w:val="000000" w:themeColor="text1"/>
        </w:rPr>
      </w:pPr>
    </w:p>
    <w:p w:rsidR="00DF665E" w:rsidRPr="000F4604" w:rsidRDefault="00F63E1D" w:rsidP="00681CD4">
      <w:pPr>
        <w:spacing w:after="0" w:line="240" w:lineRule="auto"/>
        <w:ind w:left="720"/>
        <w:jc w:val="both"/>
        <w:rPr>
          <w:rFonts w:cs="Arial"/>
          <w:b/>
        </w:rPr>
      </w:pPr>
      <w:r w:rsidRPr="000F4604">
        <w:rPr>
          <w:rFonts w:cs="Arial"/>
          <w:b/>
        </w:rPr>
        <w:t xml:space="preserve">v) </w:t>
      </w:r>
      <w:r w:rsidR="00DA1225" w:rsidRPr="000F4604">
        <w:rPr>
          <w:rFonts w:cs="Arial"/>
          <w:b/>
        </w:rPr>
        <w:t xml:space="preserve"> </w:t>
      </w:r>
      <w:r w:rsidR="00F32F58" w:rsidRPr="000F4604">
        <w:rPr>
          <w:rFonts w:cs="Arial"/>
          <w:b/>
        </w:rPr>
        <w:t xml:space="preserve">Service </w:t>
      </w:r>
      <w:r w:rsidR="0039704B" w:rsidRPr="000F4604">
        <w:rPr>
          <w:rFonts w:cs="Arial"/>
          <w:b/>
        </w:rPr>
        <w:t>Monitoring</w:t>
      </w:r>
    </w:p>
    <w:p w:rsidR="000A6B54" w:rsidRPr="000F4604" w:rsidRDefault="000A6B54" w:rsidP="00681CD4">
      <w:pPr>
        <w:spacing w:after="0" w:line="240" w:lineRule="auto"/>
        <w:ind w:left="720"/>
        <w:jc w:val="both"/>
        <w:rPr>
          <w:rFonts w:cs="Arial"/>
          <w:b/>
        </w:rPr>
      </w:pPr>
    </w:p>
    <w:p w:rsidR="00F32F58" w:rsidRDefault="0009354F" w:rsidP="009D3F05">
      <w:pPr>
        <w:spacing w:after="0" w:line="240" w:lineRule="auto"/>
        <w:ind w:left="426"/>
        <w:jc w:val="both"/>
        <w:rPr>
          <w:rFonts w:cs="Arial"/>
        </w:rPr>
      </w:pPr>
      <w:r>
        <w:rPr>
          <w:rFonts w:cs="Arial"/>
        </w:rPr>
        <w:t xml:space="preserve">The EDI Advisor </w:t>
      </w:r>
      <w:r w:rsidR="00F63E1D" w:rsidRPr="000F4604">
        <w:rPr>
          <w:rFonts w:cs="Arial"/>
        </w:rPr>
        <w:t>has</w:t>
      </w:r>
      <w:r w:rsidR="00CF20DB" w:rsidRPr="000F4604">
        <w:rPr>
          <w:rFonts w:cs="Arial"/>
        </w:rPr>
        <w:t xml:space="preserve"> </w:t>
      </w:r>
      <w:r>
        <w:rPr>
          <w:rFonts w:cs="Arial"/>
        </w:rPr>
        <w:t>ensured that the service</w:t>
      </w:r>
      <w:r w:rsidR="00F32F58" w:rsidRPr="000F4604">
        <w:rPr>
          <w:rFonts w:cs="Arial"/>
        </w:rPr>
        <w:t xml:space="preserve"> standards as detailed in the EDI Service Level Agreemen</w:t>
      </w:r>
      <w:r>
        <w:rPr>
          <w:rFonts w:cs="Arial"/>
        </w:rPr>
        <w:t>t are met.</w:t>
      </w:r>
      <w:r w:rsidR="000A6B54" w:rsidRPr="000F4604">
        <w:rPr>
          <w:rFonts w:cs="Arial"/>
        </w:rPr>
        <w:t xml:space="preserve"> Steps have been taken to review the standards to ensure they are achievable in light of the reduced capacity in the team.</w:t>
      </w:r>
      <w:r>
        <w:rPr>
          <w:rFonts w:cs="Arial"/>
        </w:rPr>
        <w:t xml:space="preserve"> The Service Standards are:</w:t>
      </w:r>
    </w:p>
    <w:p w:rsidR="006D1B97" w:rsidRPr="000F4604" w:rsidRDefault="006D1B97" w:rsidP="009D3F05">
      <w:pPr>
        <w:spacing w:after="0" w:line="240" w:lineRule="auto"/>
        <w:ind w:left="426"/>
        <w:jc w:val="both"/>
        <w:rPr>
          <w:rFonts w:cs="Arial"/>
        </w:rPr>
      </w:pPr>
    </w:p>
    <w:p w:rsidR="00F32F58" w:rsidRPr="009D3F05" w:rsidRDefault="00F32F58" w:rsidP="009D3F05">
      <w:pPr>
        <w:pStyle w:val="ListParagraph"/>
        <w:numPr>
          <w:ilvl w:val="0"/>
          <w:numId w:val="32"/>
        </w:numPr>
        <w:spacing w:after="0" w:line="240" w:lineRule="auto"/>
        <w:jc w:val="both"/>
        <w:rPr>
          <w:rFonts w:ascii="Arial" w:hAnsi="Arial" w:cs="Arial"/>
        </w:rPr>
      </w:pPr>
      <w:r w:rsidRPr="009D3F05">
        <w:rPr>
          <w:rFonts w:ascii="Arial" w:hAnsi="Arial" w:cs="Arial"/>
        </w:rPr>
        <w:t>To acknowledge requests for EDI trai</w:t>
      </w:r>
      <w:r w:rsidR="00F63E1D" w:rsidRPr="009D3F05">
        <w:rPr>
          <w:rFonts w:ascii="Arial" w:hAnsi="Arial" w:cs="Arial"/>
        </w:rPr>
        <w:t xml:space="preserve">ning within </w:t>
      </w:r>
      <w:r w:rsidR="006D1B97" w:rsidRPr="009D3F05">
        <w:rPr>
          <w:rFonts w:ascii="Arial" w:hAnsi="Arial" w:cs="Arial"/>
        </w:rPr>
        <w:t>48</w:t>
      </w:r>
      <w:r w:rsidR="00F63E1D" w:rsidRPr="009D3F05">
        <w:rPr>
          <w:rFonts w:ascii="Arial" w:hAnsi="Arial" w:cs="Arial"/>
        </w:rPr>
        <w:t xml:space="preserve"> hours of receipt</w:t>
      </w:r>
      <w:r w:rsidRPr="009D3F05">
        <w:rPr>
          <w:rFonts w:ascii="Arial" w:hAnsi="Arial" w:cs="Arial"/>
        </w:rPr>
        <w:t xml:space="preserve"> and offer options to receive training within 5 working days</w:t>
      </w:r>
      <w:r w:rsidR="00F63E1D" w:rsidRPr="009D3F05">
        <w:rPr>
          <w:rFonts w:ascii="Arial" w:hAnsi="Arial" w:cs="Arial"/>
        </w:rPr>
        <w:t>.</w:t>
      </w:r>
    </w:p>
    <w:p w:rsidR="00CF20DB" w:rsidRPr="009D3F05" w:rsidRDefault="00CF20DB" w:rsidP="009D3F05">
      <w:pPr>
        <w:pStyle w:val="ListParagraph"/>
        <w:tabs>
          <w:tab w:val="left" w:pos="825"/>
        </w:tabs>
        <w:spacing w:after="0" w:line="240" w:lineRule="auto"/>
        <w:ind w:left="426" w:firstLine="405"/>
        <w:jc w:val="both"/>
        <w:rPr>
          <w:rFonts w:ascii="Arial" w:hAnsi="Arial" w:cs="Arial"/>
        </w:rPr>
      </w:pPr>
    </w:p>
    <w:p w:rsidR="00F32F58" w:rsidRPr="009D3F05" w:rsidRDefault="00F32F58" w:rsidP="009D3F05">
      <w:pPr>
        <w:pStyle w:val="ListParagraph"/>
        <w:numPr>
          <w:ilvl w:val="0"/>
          <w:numId w:val="32"/>
        </w:numPr>
        <w:spacing w:after="0" w:line="240" w:lineRule="auto"/>
        <w:jc w:val="both"/>
        <w:rPr>
          <w:rFonts w:ascii="Arial" w:hAnsi="Arial" w:cs="Arial"/>
        </w:rPr>
      </w:pPr>
      <w:r w:rsidRPr="009D3F05">
        <w:rPr>
          <w:rFonts w:ascii="Arial" w:hAnsi="Arial" w:cs="Arial"/>
        </w:rPr>
        <w:t>100% of face to face EDI training is evaluated by participants as being good or better overall</w:t>
      </w:r>
      <w:r w:rsidR="00F63E1D" w:rsidRPr="009D3F05">
        <w:rPr>
          <w:rFonts w:ascii="Arial" w:hAnsi="Arial" w:cs="Arial"/>
        </w:rPr>
        <w:t>.</w:t>
      </w:r>
    </w:p>
    <w:p w:rsidR="00CF20DB" w:rsidRPr="009D3F05" w:rsidRDefault="00CF20DB" w:rsidP="009D3F05">
      <w:pPr>
        <w:pStyle w:val="ListParagraph"/>
        <w:spacing w:after="0" w:line="240" w:lineRule="auto"/>
        <w:ind w:left="426"/>
        <w:rPr>
          <w:rFonts w:ascii="Arial" w:hAnsi="Arial" w:cs="Arial"/>
        </w:rPr>
      </w:pPr>
    </w:p>
    <w:p w:rsidR="00F32F58" w:rsidRPr="009D3F05" w:rsidRDefault="00F32F58" w:rsidP="009D3F05">
      <w:pPr>
        <w:pStyle w:val="ListParagraph"/>
        <w:numPr>
          <w:ilvl w:val="0"/>
          <w:numId w:val="32"/>
        </w:numPr>
        <w:spacing w:after="0" w:line="240" w:lineRule="auto"/>
        <w:jc w:val="both"/>
        <w:rPr>
          <w:rFonts w:ascii="Arial" w:hAnsi="Arial" w:cs="Arial"/>
        </w:rPr>
      </w:pPr>
      <w:r w:rsidRPr="009D3F05">
        <w:rPr>
          <w:rFonts w:ascii="Arial" w:hAnsi="Arial" w:cs="Arial"/>
        </w:rPr>
        <w:t>To acknowledge telephone, e-mail or written enquiries on EDI matters within 24 hours and to provide a response to the enquiry within 2 working days</w:t>
      </w:r>
      <w:r w:rsidR="00F63E1D" w:rsidRPr="009D3F05">
        <w:rPr>
          <w:rFonts w:ascii="Arial" w:hAnsi="Arial" w:cs="Arial"/>
        </w:rPr>
        <w:t>.</w:t>
      </w:r>
    </w:p>
    <w:p w:rsidR="00B27B23" w:rsidRPr="000F4604" w:rsidRDefault="00B27B23" w:rsidP="009D3F05">
      <w:pPr>
        <w:spacing w:after="0" w:line="240" w:lineRule="auto"/>
        <w:ind w:left="426"/>
        <w:jc w:val="both"/>
        <w:rPr>
          <w:rFonts w:cs="Arial"/>
        </w:rPr>
      </w:pPr>
    </w:p>
    <w:p w:rsidR="00CF20DB" w:rsidRPr="000F4604" w:rsidRDefault="00B27B23" w:rsidP="009D3F05">
      <w:pPr>
        <w:spacing w:after="0" w:line="240" w:lineRule="auto"/>
        <w:ind w:left="426"/>
        <w:jc w:val="both"/>
        <w:rPr>
          <w:rFonts w:cs="Arial"/>
        </w:rPr>
      </w:pPr>
      <w:r w:rsidRPr="000F4604">
        <w:rPr>
          <w:rFonts w:cs="Arial"/>
        </w:rPr>
        <w:t xml:space="preserve">Key Performance Indicators monitor </w:t>
      </w:r>
      <w:r w:rsidR="003F74E0" w:rsidRPr="000F4604">
        <w:rPr>
          <w:rFonts w:cs="Arial"/>
        </w:rPr>
        <w:t>student and staff satisfaction as well as the impact of EDI training</w:t>
      </w:r>
      <w:r w:rsidRPr="000F4604">
        <w:rPr>
          <w:rFonts w:cs="Arial"/>
        </w:rPr>
        <w:t xml:space="preserve"> and the EDI team</w:t>
      </w:r>
      <w:r w:rsidR="008320C4" w:rsidRPr="000F4604">
        <w:rPr>
          <w:rFonts w:cs="Arial"/>
        </w:rPr>
        <w:t xml:space="preserve"> </w:t>
      </w:r>
      <w:r w:rsidRPr="000F4604">
        <w:rPr>
          <w:rFonts w:cs="Arial"/>
        </w:rPr>
        <w:t>works closely</w:t>
      </w:r>
      <w:r w:rsidR="008320C4" w:rsidRPr="000F4604">
        <w:rPr>
          <w:rFonts w:cs="Arial"/>
        </w:rPr>
        <w:t xml:space="preserve"> with </w:t>
      </w:r>
      <w:r w:rsidRPr="000F4604">
        <w:rPr>
          <w:rFonts w:cs="Arial"/>
        </w:rPr>
        <w:t xml:space="preserve">the </w:t>
      </w:r>
      <w:r w:rsidR="008320C4" w:rsidRPr="000F4604">
        <w:rPr>
          <w:rFonts w:cs="Arial"/>
        </w:rPr>
        <w:t xml:space="preserve">College MIS </w:t>
      </w:r>
      <w:r w:rsidRPr="000F4604">
        <w:rPr>
          <w:rFonts w:cs="Arial"/>
        </w:rPr>
        <w:t>t</w:t>
      </w:r>
      <w:r w:rsidR="008320C4" w:rsidRPr="000F4604">
        <w:rPr>
          <w:rFonts w:cs="Arial"/>
        </w:rPr>
        <w:t>eam to regularly review and report on data trends</w:t>
      </w:r>
      <w:r w:rsidRPr="000F4604">
        <w:rPr>
          <w:rFonts w:cs="Arial"/>
        </w:rPr>
        <w:t xml:space="preserve"> which are examined as part of the College’s performance monitoring process. </w:t>
      </w:r>
    </w:p>
    <w:p w:rsidR="00CF20DB" w:rsidRPr="000F4604" w:rsidRDefault="00CF20DB" w:rsidP="009D3F05">
      <w:pPr>
        <w:spacing w:after="0" w:line="240" w:lineRule="auto"/>
        <w:ind w:left="426"/>
        <w:jc w:val="both"/>
        <w:rPr>
          <w:rFonts w:cs="Arial"/>
        </w:rPr>
      </w:pPr>
    </w:p>
    <w:p w:rsidR="008320C4" w:rsidRPr="000F4604" w:rsidRDefault="008320C4" w:rsidP="009D3F05">
      <w:pPr>
        <w:spacing w:after="0" w:line="240" w:lineRule="auto"/>
        <w:ind w:left="426"/>
        <w:jc w:val="both"/>
        <w:rPr>
          <w:rFonts w:cs="Arial"/>
        </w:rPr>
      </w:pPr>
      <w:r w:rsidRPr="000F4604">
        <w:rPr>
          <w:rFonts w:cs="Arial"/>
        </w:rPr>
        <w:t xml:space="preserve">EDI data dashboards are presented at EDI </w:t>
      </w:r>
      <w:r w:rsidR="00E24178">
        <w:rPr>
          <w:rFonts w:cs="Arial"/>
        </w:rPr>
        <w:t>g</w:t>
      </w:r>
      <w:r w:rsidR="00B27B23" w:rsidRPr="000F4604">
        <w:rPr>
          <w:rFonts w:cs="Arial"/>
        </w:rPr>
        <w:t>roup</w:t>
      </w:r>
      <w:r w:rsidRPr="000F4604">
        <w:rPr>
          <w:rFonts w:cs="Arial"/>
        </w:rPr>
        <w:t xml:space="preserve"> meetings to inform target setting</w:t>
      </w:r>
      <w:r w:rsidR="00B27B23" w:rsidRPr="000F4604">
        <w:rPr>
          <w:rFonts w:cs="Arial"/>
        </w:rPr>
        <w:t>,</w:t>
      </w:r>
      <w:r w:rsidRPr="000F4604">
        <w:rPr>
          <w:rFonts w:cs="Arial"/>
        </w:rPr>
        <w:t xml:space="preserve"> objectives and actions</w:t>
      </w:r>
      <w:r w:rsidR="00B27B23" w:rsidRPr="000F4604">
        <w:rPr>
          <w:rFonts w:cs="Arial"/>
        </w:rPr>
        <w:t xml:space="preserve">. </w:t>
      </w:r>
      <w:r w:rsidRPr="000F4604">
        <w:rPr>
          <w:rFonts w:cs="Arial"/>
        </w:rPr>
        <w:t>Complaints are categorised according to EDI characteristics and cause of complaint</w:t>
      </w:r>
      <w:r w:rsidR="00B27B23" w:rsidRPr="000F4604">
        <w:rPr>
          <w:rFonts w:cs="Arial"/>
        </w:rPr>
        <w:t xml:space="preserve"> (discrimination/harassment)</w:t>
      </w:r>
      <w:r w:rsidR="00CF20DB" w:rsidRPr="000F4604">
        <w:rPr>
          <w:rFonts w:cs="Arial"/>
        </w:rPr>
        <w:t xml:space="preserve"> and these are reviewed by the EDI </w:t>
      </w:r>
      <w:r w:rsidR="00E24178">
        <w:rPr>
          <w:rFonts w:cs="Arial"/>
        </w:rPr>
        <w:t>g</w:t>
      </w:r>
      <w:r w:rsidR="00CF20DB" w:rsidRPr="000F4604">
        <w:rPr>
          <w:rFonts w:cs="Arial"/>
        </w:rPr>
        <w:t>roup.</w:t>
      </w:r>
      <w:r w:rsidR="00B27B23" w:rsidRPr="000F4604">
        <w:rPr>
          <w:rFonts w:cs="Arial"/>
        </w:rPr>
        <w:t xml:space="preserve">  </w:t>
      </w:r>
    </w:p>
    <w:p w:rsidR="003C1A42" w:rsidRPr="000F4604" w:rsidRDefault="003C1A42" w:rsidP="009D3F05">
      <w:pPr>
        <w:spacing w:after="0" w:line="240" w:lineRule="auto"/>
        <w:ind w:left="426"/>
        <w:jc w:val="both"/>
        <w:rPr>
          <w:rFonts w:cs="Arial"/>
          <w:noProof/>
        </w:rPr>
      </w:pPr>
    </w:p>
    <w:p w:rsidR="00BF66C0" w:rsidRPr="000F4604" w:rsidRDefault="00BF66C0" w:rsidP="009D3F05">
      <w:pPr>
        <w:spacing w:after="0" w:line="240" w:lineRule="auto"/>
        <w:ind w:left="426"/>
        <w:rPr>
          <w:rFonts w:cs="Arial"/>
        </w:rPr>
      </w:pPr>
      <w:r w:rsidRPr="000F4604">
        <w:rPr>
          <w:rFonts w:cs="Arial"/>
        </w:rPr>
        <w:t>Learner surveys are analysed to monitor the impact of staff training to embed EDI into the curriculum as well as the effectiveness of EDI initiatives to create a cultu</w:t>
      </w:r>
      <w:r w:rsidR="00E24178">
        <w:rPr>
          <w:rFonts w:cs="Arial"/>
        </w:rPr>
        <w:t xml:space="preserve">re of respect. </w:t>
      </w:r>
      <w:r w:rsidRPr="000F4604">
        <w:rPr>
          <w:rFonts w:cs="Arial"/>
        </w:rPr>
        <w:t xml:space="preserve">Staff surveys are analysed to monitor satisfaction and general impact of the EDI agenda, that is, a safe, respectful and fair place to work.  </w:t>
      </w:r>
    </w:p>
    <w:p w:rsidR="00BF66C0" w:rsidRPr="000F4604" w:rsidRDefault="00BF66C0" w:rsidP="00681CD4">
      <w:pPr>
        <w:spacing w:after="0" w:line="240" w:lineRule="auto"/>
        <w:ind w:left="720"/>
        <w:jc w:val="both"/>
        <w:rPr>
          <w:rFonts w:cs="Arial"/>
          <w:noProof/>
        </w:rPr>
      </w:pPr>
    </w:p>
    <w:p w:rsidR="0009354F" w:rsidRDefault="0009354F">
      <w:pPr>
        <w:rPr>
          <w:rFonts w:cs="Arial"/>
          <w:b/>
        </w:rPr>
      </w:pPr>
    </w:p>
    <w:p w:rsidR="00F8242B" w:rsidRDefault="00F63E1D" w:rsidP="00681CD4">
      <w:pPr>
        <w:spacing w:after="0" w:line="240" w:lineRule="auto"/>
        <w:jc w:val="both"/>
        <w:rPr>
          <w:rFonts w:cs="Arial"/>
          <w:b/>
        </w:rPr>
      </w:pPr>
      <w:r w:rsidRPr="000F4604">
        <w:rPr>
          <w:rFonts w:cs="Arial"/>
          <w:b/>
        </w:rPr>
        <w:t xml:space="preserve">vi) </w:t>
      </w:r>
      <w:r w:rsidR="00DA1225" w:rsidRPr="000F4604">
        <w:rPr>
          <w:rFonts w:cs="Arial"/>
          <w:b/>
        </w:rPr>
        <w:t xml:space="preserve"> </w:t>
      </w:r>
      <w:r w:rsidR="00F8242B" w:rsidRPr="000F4604">
        <w:rPr>
          <w:rFonts w:cs="Arial"/>
          <w:b/>
        </w:rPr>
        <w:t>Fair Futures</w:t>
      </w:r>
    </w:p>
    <w:p w:rsidR="003F74E0" w:rsidRPr="000F4604" w:rsidRDefault="003F74E0" w:rsidP="009D3F05">
      <w:pPr>
        <w:spacing w:after="0" w:line="240" w:lineRule="auto"/>
        <w:ind w:left="426"/>
        <w:jc w:val="both"/>
        <w:rPr>
          <w:rFonts w:cs="Arial"/>
        </w:rPr>
      </w:pPr>
      <w:r w:rsidRPr="000F4604">
        <w:rPr>
          <w:rFonts w:cs="Arial"/>
        </w:rPr>
        <w:t xml:space="preserve">Fair Futures is a supported employment pathway which aims to create opportunities for learners who may face extra barriers when entering the world of work. Fair </w:t>
      </w:r>
      <w:r w:rsidR="00F63E1D" w:rsidRPr="000F4604">
        <w:rPr>
          <w:rFonts w:cs="Arial"/>
        </w:rPr>
        <w:t>F</w:t>
      </w:r>
      <w:r w:rsidRPr="000F4604">
        <w:rPr>
          <w:rFonts w:cs="Arial"/>
        </w:rPr>
        <w:t>utures aims to challenge assumptions and change perceptions of people with disabilities and/or difficulties.</w:t>
      </w:r>
    </w:p>
    <w:p w:rsidR="00F63E1D" w:rsidRPr="000F4604" w:rsidRDefault="00F63E1D" w:rsidP="009D3F05">
      <w:pPr>
        <w:spacing w:after="0" w:line="240" w:lineRule="auto"/>
        <w:ind w:left="426"/>
        <w:jc w:val="both"/>
        <w:rPr>
          <w:rFonts w:cs="Arial"/>
        </w:rPr>
      </w:pPr>
    </w:p>
    <w:p w:rsidR="003F74E0" w:rsidRPr="000F4604" w:rsidRDefault="003F74E0" w:rsidP="009D3F05">
      <w:pPr>
        <w:spacing w:after="0" w:line="240" w:lineRule="auto"/>
        <w:ind w:left="426"/>
        <w:jc w:val="both"/>
        <w:rPr>
          <w:rFonts w:cs="Arial"/>
        </w:rPr>
      </w:pPr>
      <w:r w:rsidRPr="000F4604">
        <w:rPr>
          <w:rFonts w:cs="Arial"/>
        </w:rPr>
        <w:t>The programme aims to prepare learners for employment, as well as providing professional development opportunities for staff at College.  The Fair Futures pathway involves Information, Advice and Guidance (IAG) support, employability sessions, a realistic recruitment process, support needs assessment and work placement.</w:t>
      </w:r>
    </w:p>
    <w:p w:rsidR="003F74E0" w:rsidRPr="000F4604" w:rsidRDefault="003F74E0" w:rsidP="009D3F05">
      <w:pPr>
        <w:spacing w:after="0" w:line="240" w:lineRule="auto"/>
        <w:ind w:left="426"/>
        <w:jc w:val="both"/>
        <w:rPr>
          <w:rFonts w:cs="Arial"/>
        </w:rPr>
      </w:pPr>
    </w:p>
    <w:p w:rsidR="003F74E0" w:rsidRPr="000F4604" w:rsidRDefault="003F74E0" w:rsidP="009D3F05">
      <w:pPr>
        <w:spacing w:after="0" w:line="240" w:lineRule="auto"/>
        <w:ind w:left="426"/>
        <w:jc w:val="both"/>
        <w:rPr>
          <w:rFonts w:cs="Arial"/>
        </w:rPr>
      </w:pPr>
      <w:r w:rsidRPr="000F4604">
        <w:rPr>
          <w:rFonts w:cs="Arial"/>
        </w:rPr>
        <w:t xml:space="preserve">The programme aims to deliver a supported inclusive employment pathway, involving choice and control, personalised support, high quality work placements and job mentoring. Delivery is primarily through the existing support mechanisms at </w:t>
      </w:r>
      <w:r w:rsidR="00F63E1D" w:rsidRPr="000F4604">
        <w:rPr>
          <w:rFonts w:cs="Arial"/>
        </w:rPr>
        <w:t>the</w:t>
      </w:r>
      <w:r w:rsidRPr="000F4604">
        <w:rPr>
          <w:rFonts w:cs="Arial"/>
        </w:rPr>
        <w:t xml:space="preserve"> College</w:t>
      </w:r>
      <w:r w:rsidR="00CF20DB" w:rsidRPr="000F4604">
        <w:rPr>
          <w:rFonts w:cs="Arial"/>
        </w:rPr>
        <w:t xml:space="preserve"> including Information, Advice and Guidance</w:t>
      </w:r>
      <w:r w:rsidRPr="000F4604">
        <w:rPr>
          <w:rFonts w:cs="Arial"/>
        </w:rPr>
        <w:t xml:space="preserve">, Additional Learning Support (ALS) team </w:t>
      </w:r>
      <w:r w:rsidRPr="000F4604">
        <w:rPr>
          <w:rFonts w:cs="Arial"/>
        </w:rPr>
        <w:lastRenderedPageBreak/>
        <w:t>and placement representatives</w:t>
      </w:r>
      <w:r w:rsidR="00CF20DB" w:rsidRPr="000F4604">
        <w:rPr>
          <w:rFonts w:cs="Arial"/>
        </w:rPr>
        <w:t xml:space="preserve"> who are</w:t>
      </w:r>
      <w:r w:rsidRPr="000F4604">
        <w:rPr>
          <w:rFonts w:cs="Arial"/>
        </w:rPr>
        <w:t xml:space="preserve"> designated staff members from </w:t>
      </w:r>
      <w:r w:rsidR="00CF20DB" w:rsidRPr="000F4604">
        <w:rPr>
          <w:rFonts w:cs="Arial"/>
        </w:rPr>
        <w:t xml:space="preserve">the </w:t>
      </w:r>
      <w:r w:rsidRPr="000F4604">
        <w:rPr>
          <w:rFonts w:cs="Arial"/>
        </w:rPr>
        <w:t>placement area.</w:t>
      </w:r>
    </w:p>
    <w:p w:rsidR="003F74E0" w:rsidRPr="000F4604" w:rsidRDefault="003F74E0" w:rsidP="009D3F05">
      <w:pPr>
        <w:spacing w:after="0" w:line="240" w:lineRule="auto"/>
        <w:ind w:left="426"/>
        <w:jc w:val="both"/>
        <w:rPr>
          <w:rFonts w:cs="Arial"/>
        </w:rPr>
      </w:pPr>
    </w:p>
    <w:p w:rsidR="00AA7783" w:rsidRPr="000F4604" w:rsidRDefault="00AA7783" w:rsidP="009D3F05">
      <w:pPr>
        <w:spacing w:after="0" w:line="240" w:lineRule="auto"/>
        <w:ind w:left="426"/>
        <w:jc w:val="both"/>
        <w:rPr>
          <w:rFonts w:cs="Arial"/>
        </w:rPr>
      </w:pPr>
      <w:r w:rsidRPr="000F4604">
        <w:rPr>
          <w:rFonts w:cs="Arial"/>
        </w:rPr>
        <w:t xml:space="preserve">20 learners engaged with the programme </w:t>
      </w:r>
      <w:r w:rsidR="0009354F">
        <w:rPr>
          <w:rFonts w:cs="Arial"/>
        </w:rPr>
        <w:t>last year</w:t>
      </w:r>
      <w:r w:rsidRPr="000F4604">
        <w:rPr>
          <w:rFonts w:cs="Arial"/>
        </w:rPr>
        <w:t xml:space="preserve"> with 12 participants undertaking work placements in a range of areas (IT, Finance, Learning Support, Exams, Catering, Library, </w:t>
      </w:r>
      <w:r w:rsidR="005F5185" w:rsidRPr="000F4604">
        <w:rPr>
          <w:rFonts w:cs="Arial"/>
        </w:rPr>
        <w:t>and Reception</w:t>
      </w:r>
      <w:r w:rsidRPr="000F4604">
        <w:rPr>
          <w:rFonts w:cs="Arial"/>
        </w:rPr>
        <w:t>).  One Horizons’ learner achieved a Level 2 Food Hygiene certificate to ensure he can now enter employment in the catering industry</w:t>
      </w:r>
    </w:p>
    <w:p w:rsidR="00F63E1D" w:rsidRPr="000F4604" w:rsidRDefault="00F63E1D" w:rsidP="009D3F05">
      <w:pPr>
        <w:spacing w:after="0" w:line="240" w:lineRule="auto"/>
        <w:ind w:left="426"/>
        <w:jc w:val="both"/>
        <w:rPr>
          <w:rFonts w:cs="Arial"/>
        </w:rPr>
      </w:pPr>
    </w:p>
    <w:p w:rsidR="00801BA9" w:rsidRPr="000F4604" w:rsidRDefault="00801BA9" w:rsidP="009D3F05">
      <w:pPr>
        <w:spacing w:after="0" w:line="240" w:lineRule="auto"/>
        <w:ind w:left="426"/>
        <w:rPr>
          <w:rFonts w:cs="Arial"/>
        </w:rPr>
      </w:pPr>
      <w:r w:rsidRPr="000F4604">
        <w:rPr>
          <w:rFonts w:cs="Arial"/>
        </w:rPr>
        <w:t>Outcomes for participants recorded include learners moving to:</w:t>
      </w:r>
    </w:p>
    <w:p w:rsidR="00F63E1D" w:rsidRPr="000F4604" w:rsidRDefault="00F63E1D" w:rsidP="009D3F05">
      <w:pPr>
        <w:spacing w:after="0" w:line="240" w:lineRule="auto"/>
        <w:ind w:left="426"/>
        <w:rPr>
          <w:rFonts w:cs="Arial"/>
        </w:rPr>
      </w:pPr>
    </w:p>
    <w:p w:rsidR="00801BA9" w:rsidRPr="00E24178" w:rsidRDefault="00801BA9" w:rsidP="00E24178">
      <w:pPr>
        <w:pStyle w:val="ListParagraph"/>
        <w:numPr>
          <w:ilvl w:val="0"/>
          <w:numId w:val="38"/>
        </w:numPr>
        <w:spacing w:after="0" w:line="240" w:lineRule="auto"/>
        <w:rPr>
          <w:rFonts w:ascii="Arial" w:hAnsi="Arial" w:cs="Arial"/>
        </w:rPr>
      </w:pPr>
      <w:r w:rsidRPr="00E24178">
        <w:rPr>
          <w:rFonts w:ascii="Arial" w:hAnsi="Arial" w:cs="Arial"/>
        </w:rPr>
        <w:t>Higher Education</w:t>
      </w:r>
    </w:p>
    <w:p w:rsidR="00801BA9" w:rsidRPr="00E24178" w:rsidRDefault="00801BA9" w:rsidP="00E24178">
      <w:pPr>
        <w:pStyle w:val="ListParagraph"/>
        <w:numPr>
          <w:ilvl w:val="0"/>
          <w:numId w:val="38"/>
        </w:numPr>
        <w:spacing w:after="0" w:line="240" w:lineRule="auto"/>
        <w:rPr>
          <w:rFonts w:ascii="Arial" w:hAnsi="Arial" w:cs="Arial"/>
        </w:rPr>
      </w:pPr>
      <w:r w:rsidRPr="00E24178">
        <w:rPr>
          <w:rFonts w:ascii="Arial" w:hAnsi="Arial" w:cs="Arial"/>
        </w:rPr>
        <w:t xml:space="preserve">Further Education </w:t>
      </w:r>
    </w:p>
    <w:p w:rsidR="003251A9" w:rsidRPr="00E24178" w:rsidRDefault="00801BA9" w:rsidP="00E24178">
      <w:pPr>
        <w:pStyle w:val="ListParagraph"/>
        <w:numPr>
          <w:ilvl w:val="0"/>
          <w:numId w:val="38"/>
        </w:numPr>
        <w:spacing w:after="0" w:line="240" w:lineRule="auto"/>
        <w:rPr>
          <w:rFonts w:ascii="Arial" w:hAnsi="Arial" w:cs="Arial"/>
        </w:rPr>
      </w:pPr>
      <w:r w:rsidRPr="00E24178">
        <w:rPr>
          <w:rFonts w:ascii="Arial" w:hAnsi="Arial" w:cs="Arial"/>
        </w:rPr>
        <w:t xml:space="preserve">Temporary paid work </w:t>
      </w:r>
    </w:p>
    <w:p w:rsidR="00801BA9" w:rsidRPr="00E24178" w:rsidRDefault="00801BA9" w:rsidP="00E24178">
      <w:pPr>
        <w:pStyle w:val="ListParagraph"/>
        <w:numPr>
          <w:ilvl w:val="0"/>
          <w:numId w:val="38"/>
        </w:numPr>
        <w:spacing w:after="0" w:line="240" w:lineRule="auto"/>
        <w:rPr>
          <w:rFonts w:ascii="Arial" w:hAnsi="Arial" w:cs="Arial"/>
        </w:rPr>
      </w:pPr>
      <w:r w:rsidRPr="00E24178">
        <w:rPr>
          <w:rFonts w:ascii="Arial" w:hAnsi="Arial" w:cs="Arial"/>
        </w:rPr>
        <w:t xml:space="preserve">Apprenticeship </w:t>
      </w:r>
    </w:p>
    <w:p w:rsidR="00801BA9" w:rsidRPr="00E24178" w:rsidRDefault="00801BA9" w:rsidP="00E24178">
      <w:pPr>
        <w:pStyle w:val="ListParagraph"/>
        <w:numPr>
          <w:ilvl w:val="0"/>
          <w:numId w:val="38"/>
        </w:numPr>
        <w:spacing w:after="0" w:line="240" w:lineRule="auto"/>
        <w:rPr>
          <w:rFonts w:ascii="Arial" w:hAnsi="Arial" w:cs="Arial"/>
        </w:rPr>
      </w:pPr>
      <w:r w:rsidRPr="00E24178">
        <w:rPr>
          <w:rFonts w:ascii="Arial" w:hAnsi="Arial" w:cs="Arial"/>
        </w:rPr>
        <w:t xml:space="preserve">Volunteering </w:t>
      </w:r>
    </w:p>
    <w:p w:rsidR="003251A9" w:rsidRPr="000F4604" w:rsidRDefault="003251A9" w:rsidP="009D3F05">
      <w:pPr>
        <w:spacing w:after="0" w:line="240" w:lineRule="auto"/>
        <w:ind w:left="426"/>
        <w:jc w:val="both"/>
        <w:rPr>
          <w:rFonts w:cs="Arial"/>
        </w:rPr>
      </w:pPr>
    </w:p>
    <w:p w:rsidR="00AA7783" w:rsidRPr="000F4604" w:rsidRDefault="00AA7783" w:rsidP="009D3F05">
      <w:pPr>
        <w:spacing w:after="0" w:line="240" w:lineRule="auto"/>
        <w:ind w:left="426"/>
        <w:rPr>
          <w:rFonts w:cs="Arial"/>
        </w:rPr>
      </w:pPr>
      <w:r w:rsidRPr="000F4604">
        <w:rPr>
          <w:rFonts w:cs="Arial"/>
        </w:rPr>
        <w:t>In light of the closure of Central Contributes</w:t>
      </w:r>
      <w:r w:rsidR="0009354F" w:rsidRPr="0009354F">
        <w:rPr>
          <w:rFonts w:cs="Arial"/>
        </w:rPr>
        <w:t xml:space="preserve"> </w:t>
      </w:r>
      <w:r w:rsidR="0009354F" w:rsidRPr="000F4604">
        <w:rPr>
          <w:rFonts w:cs="Arial"/>
        </w:rPr>
        <w:t>and the discontinuation of funding for Fair Futures</w:t>
      </w:r>
      <w:r w:rsidR="00E24178">
        <w:rPr>
          <w:rFonts w:cs="Arial"/>
        </w:rPr>
        <w:t>,</w:t>
      </w:r>
      <w:r w:rsidR="0009354F">
        <w:rPr>
          <w:rFonts w:cs="Arial"/>
        </w:rPr>
        <w:t xml:space="preserve"> alongside a reduction in capacity within the EDI team</w:t>
      </w:r>
      <w:r w:rsidRPr="000F4604">
        <w:rPr>
          <w:rFonts w:cs="Arial"/>
        </w:rPr>
        <w:t xml:space="preserve">, the programme will </w:t>
      </w:r>
      <w:r w:rsidR="0009354F">
        <w:rPr>
          <w:rFonts w:cs="Arial"/>
        </w:rPr>
        <w:t>cease</w:t>
      </w:r>
      <w:r w:rsidRPr="000F4604">
        <w:rPr>
          <w:rFonts w:cs="Arial"/>
        </w:rPr>
        <w:t xml:space="preserve"> to operate beyond 2015.   </w:t>
      </w:r>
    </w:p>
    <w:p w:rsidR="00AA7783" w:rsidRPr="000F4604" w:rsidRDefault="00AA7783" w:rsidP="009D3F05">
      <w:pPr>
        <w:spacing w:after="0" w:line="240" w:lineRule="auto"/>
        <w:ind w:left="426"/>
        <w:rPr>
          <w:rFonts w:cs="Arial"/>
        </w:rPr>
      </w:pPr>
    </w:p>
    <w:p w:rsidR="00F8242B" w:rsidRDefault="009371D8" w:rsidP="00681CD4">
      <w:pPr>
        <w:spacing w:after="0" w:line="240" w:lineRule="auto"/>
        <w:jc w:val="both"/>
        <w:rPr>
          <w:rFonts w:cs="Arial"/>
          <w:b/>
        </w:rPr>
      </w:pPr>
      <w:r w:rsidRPr="000F4604">
        <w:rPr>
          <w:rFonts w:cs="Arial"/>
          <w:b/>
        </w:rPr>
        <w:t>11</w:t>
      </w:r>
      <w:r w:rsidR="00DA1225" w:rsidRPr="000F4604">
        <w:rPr>
          <w:rFonts w:cs="Arial"/>
          <w:b/>
        </w:rPr>
        <w:t xml:space="preserve">. </w:t>
      </w:r>
      <w:r w:rsidR="00F63E1D" w:rsidRPr="000F4604">
        <w:rPr>
          <w:rFonts w:cs="Arial"/>
          <w:b/>
        </w:rPr>
        <w:t>Incidences of B</w:t>
      </w:r>
      <w:r w:rsidR="00F8242B" w:rsidRPr="000F4604">
        <w:rPr>
          <w:rFonts w:cs="Arial"/>
          <w:b/>
        </w:rPr>
        <w:t xml:space="preserve">ullying and </w:t>
      </w:r>
      <w:r w:rsidR="00F63E1D" w:rsidRPr="000F4604">
        <w:rPr>
          <w:rFonts w:cs="Arial"/>
          <w:b/>
        </w:rPr>
        <w:t>H</w:t>
      </w:r>
      <w:r w:rsidR="00F8242B" w:rsidRPr="000F4604">
        <w:rPr>
          <w:rFonts w:cs="Arial"/>
          <w:b/>
        </w:rPr>
        <w:t>arassment</w:t>
      </w:r>
    </w:p>
    <w:p w:rsidR="003251A9" w:rsidRPr="000F4604" w:rsidRDefault="00F8242B" w:rsidP="009D3F05">
      <w:pPr>
        <w:spacing w:after="0" w:line="240" w:lineRule="auto"/>
        <w:ind w:left="426"/>
        <w:jc w:val="both"/>
        <w:rPr>
          <w:rFonts w:cs="Arial"/>
        </w:rPr>
      </w:pPr>
      <w:r w:rsidRPr="000F4604">
        <w:rPr>
          <w:rFonts w:cs="Arial"/>
        </w:rPr>
        <w:t>The College has a zero tolerance approach to</w:t>
      </w:r>
      <w:r w:rsidR="003B39A7" w:rsidRPr="000F4604">
        <w:rPr>
          <w:rFonts w:cs="Arial"/>
        </w:rPr>
        <w:t xml:space="preserve"> bullying</w:t>
      </w:r>
      <w:r w:rsidR="00F63E1D" w:rsidRPr="000F4604">
        <w:rPr>
          <w:rFonts w:cs="Arial"/>
        </w:rPr>
        <w:t xml:space="preserve"> and</w:t>
      </w:r>
      <w:r w:rsidR="003B39A7" w:rsidRPr="000F4604">
        <w:rPr>
          <w:rFonts w:cs="Arial"/>
        </w:rPr>
        <w:t xml:space="preserve"> harassment, which includes sexism, racism, homophobia and any other form of offensive behaviour, deliberate or not</w:t>
      </w:r>
      <w:r w:rsidRPr="000F4604">
        <w:rPr>
          <w:rFonts w:cs="Arial"/>
        </w:rPr>
        <w:t xml:space="preserve">.  </w:t>
      </w:r>
    </w:p>
    <w:p w:rsidR="003251A9" w:rsidRPr="000F4604" w:rsidRDefault="003251A9" w:rsidP="009D3F05">
      <w:pPr>
        <w:spacing w:after="0" w:line="240" w:lineRule="auto"/>
        <w:ind w:left="426"/>
        <w:jc w:val="both"/>
        <w:rPr>
          <w:rFonts w:cs="Arial"/>
        </w:rPr>
      </w:pPr>
    </w:p>
    <w:p w:rsidR="00F8242B" w:rsidRPr="000F4604" w:rsidRDefault="00F63E1D" w:rsidP="009D3F05">
      <w:pPr>
        <w:spacing w:after="0" w:line="240" w:lineRule="auto"/>
        <w:ind w:left="426"/>
        <w:jc w:val="both"/>
        <w:rPr>
          <w:rFonts w:cs="Arial"/>
        </w:rPr>
      </w:pPr>
      <w:r w:rsidRPr="000F4604">
        <w:rPr>
          <w:rFonts w:cs="Arial"/>
        </w:rPr>
        <w:t>Harassment and B</w:t>
      </w:r>
      <w:r w:rsidR="00F8242B" w:rsidRPr="000F4604">
        <w:rPr>
          <w:rFonts w:cs="Arial"/>
        </w:rPr>
        <w:t xml:space="preserve">ullying </w:t>
      </w:r>
      <w:r w:rsidRPr="000F4604">
        <w:rPr>
          <w:rFonts w:cs="Arial"/>
        </w:rPr>
        <w:t>P</w:t>
      </w:r>
      <w:r w:rsidR="00F8242B" w:rsidRPr="000F4604">
        <w:rPr>
          <w:rFonts w:cs="Arial"/>
        </w:rPr>
        <w:t xml:space="preserve">olicies </w:t>
      </w:r>
      <w:r w:rsidR="003F74E0" w:rsidRPr="000F4604">
        <w:rPr>
          <w:rFonts w:cs="Arial"/>
        </w:rPr>
        <w:t xml:space="preserve">(including easy read versions) </w:t>
      </w:r>
      <w:r w:rsidR="00F8242B" w:rsidRPr="000F4604">
        <w:rPr>
          <w:rFonts w:cs="Arial"/>
        </w:rPr>
        <w:t xml:space="preserve">exist for staff and </w:t>
      </w:r>
      <w:r w:rsidR="0090650C" w:rsidRPr="000F4604">
        <w:rPr>
          <w:rFonts w:cs="Arial"/>
        </w:rPr>
        <w:t>students</w:t>
      </w:r>
      <w:r w:rsidR="003F74E0" w:rsidRPr="000F4604">
        <w:rPr>
          <w:rFonts w:cs="Arial"/>
        </w:rPr>
        <w:t xml:space="preserve">. </w:t>
      </w:r>
      <w:r w:rsidR="00F8242B" w:rsidRPr="000F4604">
        <w:rPr>
          <w:rFonts w:cs="Arial"/>
        </w:rPr>
        <w:t>Procedures for dealing with incidents and complaints are followed and outcomes recorded.</w:t>
      </w:r>
      <w:r w:rsidR="0009354F">
        <w:rPr>
          <w:rFonts w:cs="Arial"/>
        </w:rPr>
        <w:t xml:space="preserve"> The policy for staff was updated last year and all managers are currently receiving refresher training.</w:t>
      </w:r>
    </w:p>
    <w:p w:rsidR="00F8242B" w:rsidRPr="000F4604" w:rsidRDefault="00F8242B" w:rsidP="009D3F05">
      <w:pPr>
        <w:spacing w:after="0" w:line="240" w:lineRule="auto"/>
        <w:ind w:left="426"/>
        <w:jc w:val="both"/>
        <w:rPr>
          <w:rFonts w:cs="Arial"/>
        </w:rPr>
      </w:pPr>
    </w:p>
    <w:p w:rsidR="0009354F" w:rsidRDefault="0009354F" w:rsidP="009D3F05">
      <w:pPr>
        <w:spacing w:after="0" w:line="240" w:lineRule="auto"/>
        <w:ind w:left="426"/>
        <w:jc w:val="both"/>
        <w:rPr>
          <w:rFonts w:cs="Arial"/>
        </w:rPr>
      </w:pPr>
      <w:r>
        <w:rPr>
          <w:rFonts w:cs="Arial"/>
        </w:rPr>
        <w:t>As evidenced by learner surveys and data, t</w:t>
      </w:r>
      <w:r w:rsidR="00F8242B" w:rsidRPr="000F4604">
        <w:rPr>
          <w:rFonts w:cs="Arial"/>
        </w:rPr>
        <w:t>here are very</w:t>
      </w:r>
      <w:r w:rsidR="00F63E1D" w:rsidRPr="000F4604">
        <w:rPr>
          <w:rFonts w:cs="Arial"/>
        </w:rPr>
        <w:t xml:space="preserve"> few complaints about bullying </w:t>
      </w:r>
      <w:r w:rsidR="00F8242B" w:rsidRPr="000F4604">
        <w:rPr>
          <w:rFonts w:cs="Arial"/>
        </w:rPr>
        <w:t>or equality and diversity issues</w:t>
      </w:r>
      <w:r>
        <w:rPr>
          <w:rFonts w:cs="Arial"/>
        </w:rPr>
        <w:t xml:space="preserve"> and w</w:t>
      </w:r>
      <w:r w:rsidR="00F8242B" w:rsidRPr="000F4604">
        <w:rPr>
          <w:rFonts w:cs="Arial"/>
        </w:rPr>
        <w:t>here such issues do arise, the College responds swiftly and effectively to resolve them.</w:t>
      </w:r>
      <w:r w:rsidR="00433AC1" w:rsidRPr="000F4604">
        <w:rPr>
          <w:rFonts w:cs="Arial"/>
        </w:rPr>
        <w:t xml:space="preserve"> </w:t>
      </w:r>
    </w:p>
    <w:p w:rsidR="0009354F" w:rsidRDefault="0009354F" w:rsidP="009D3F05">
      <w:pPr>
        <w:spacing w:after="0" w:line="240" w:lineRule="auto"/>
        <w:ind w:left="426"/>
        <w:jc w:val="both"/>
        <w:rPr>
          <w:rFonts w:cs="Arial"/>
        </w:rPr>
      </w:pPr>
    </w:p>
    <w:p w:rsidR="00C90368" w:rsidRPr="000F4604" w:rsidRDefault="00433AC1" w:rsidP="009D3F05">
      <w:pPr>
        <w:spacing w:after="0" w:line="240" w:lineRule="auto"/>
        <w:ind w:left="426"/>
        <w:jc w:val="both"/>
        <w:rPr>
          <w:rFonts w:cs="Arial"/>
        </w:rPr>
      </w:pPr>
      <w:r w:rsidRPr="000F4604">
        <w:rPr>
          <w:rFonts w:cs="Arial"/>
        </w:rPr>
        <w:t>Continuing to promote the Resp</w:t>
      </w:r>
      <w:r w:rsidR="00F63E1D" w:rsidRPr="000F4604">
        <w:rPr>
          <w:rFonts w:cs="Arial"/>
        </w:rPr>
        <w:t xml:space="preserve">ect Campaign </w:t>
      </w:r>
      <w:r w:rsidRPr="000F4604">
        <w:rPr>
          <w:rFonts w:cs="Arial"/>
        </w:rPr>
        <w:t xml:space="preserve">that bullying is not </w:t>
      </w:r>
      <w:r w:rsidR="005F5185" w:rsidRPr="000F4604">
        <w:rPr>
          <w:rFonts w:cs="Arial"/>
        </w:rPr>
        <w:t>acceptable</w:t>
      </w:r>
      <w:r w:rsidRPr="000F4604">
        <w:rPr>
          <w:rFonts w:cs="Arial"/>
        </w:rPr>
        <w:t xml:space="preserve"> is a key feature of the </w:t>
      </w:r>
      <w:r w:rsidR="0009354F">
        <w:rPr>
          <w:rFonts w:cs="Arial"/>
        </w:rPr>
        <w:t>ongoing</w:t>
      </w:r>
      <w:r w:rsidRPr="000F4604">
        <w:rPr>
          <w:rFonts w:cs="Arial"/>
        </w:rPr>
        <w:t xml:space="preserve"> </w:t>
      </w:r>
      <w:r w:rsidR="003251A9" w:rsidRPr="000F4604">
        <w:rPr>
          <w:rFonts w:cs="Arial"/>
        </w:rPr>
        <w:t xml:space="preserve">EDI </w:t>
      </w:r>
      <w:r w:rsidR="00F63E1D" w:rsidRPr="000F4604">
        <w:rPr>
          <w:rFonts w:cs="Arial"/>
        </w:rPr>
        <w:t>A</w:t>
      </w:r>
      <w:r w:rsidRPr="000F4604">
        <w:rPr>
          <w:rFonts w:cs="Arial"/>
        </w:rPr>
        <w:t xml:space="preserve">ction </w:t>
      </w:r>
      <w:r w:rsidR="00F63E1D" w:rsidRPr="000F4604">
        <w:rPr>
          <w:rFonts w:cs="Arial"/>
        </w:rPr>
        <w:t>P</w:t>
      </w:r>
      <w:r w:rsidRPr="000F4604">
        <w:rPr>
          <w:rFonts w:cs="Arial"/>
        </w:rPr>
        <w:t>lan.</w:t>
      </w:r>
    </w:p>
    <w:p w:rsidR="00433AC1" w:rsidRPr="000F4604" w:rsidRDefault="00433AC1" w:rsidP="009D3F05">
      <w:pPr>
        <w:spacing w:after="0" w:line="240" w:lineRule="auto"/>
        <w:ind w:left="426"/>
        <w:jc w:val="both"/>
        <w:rPr>
          <w:rFonts w:cs="Arial"/>
        </w:rPr>
      </w:pPr>
      <w:r w:rsidRPr="000F4604">
        <w:rPr>
          <w:rFonts w:cs="Arial"/>
        </w:rPr>
        <w:br w:type="page"/>
      </w:r>
    </w:p>
    <w:p w:rsidR="0090650C" w:rsidRPr="000F4604" w:rsidRDefault="0090650C" w:rsidP="00E24178">
      <w:pPr>
        <w:spacing w:after="0" w:line="240" w:lineRule="auto"/>
        <w:rPr>
          <w:rFonts w:cs="Arial"/>
          <w:b/>
        </w:rPr>
      </w:pPr>
      <w:r w:rsidRPr="000F4604">
        <w:rPr>
          <w:rFonts w:cs="Arial"/>
          <w:b/>
        </w:rPr>
        <w:lastRenderedPageBreak/>
        <w:t>Appendix A</w:t>
      </w:r>
    </w:p>
    <w:p w:rsidR="00F63E1D" w:rsidRPr="000F4604" w:rsidRDefault="00F63E1D" w:rsidP="00681CD4">
      <w:pPr>
        <w:spacing w:after="0" w:line="240" w:lineRule="auto"/>
        <w:jc w:val="right"/>
        <w:rPr>
          <w:rFonts w:cs="Arial"/>
          <w:b/>
        </w:rPr>
      </w:pPr>
    </w:p>
    <w:p w:rsidR="00D94E87" w:rsidRPr="000F4604" w:rsidRDefault="00D94E87" w:rsidP="00681CD4">
      <w:pPr>
        <w:spacing w:after="0" w:line="240" w:lineRule="auto"/>
        <w:jc w:val="right"/>
        <w:rPr>
          <w:rFonts w:cs="Arial"/>
          <w:b/>
        </w:rPr>
      </w:pPr>
    </w:p>
    <w:p w:rsidR="00C90368" w:rsidRPr="000F4604" w:rsidRDefault="00C90368" w:rsidP="00681CD4">
      <w:pPr>
        <w:spacing w:after="0" w:line="240" w:lineRule="auto"/>
        <w:jc w:val="both"/>
        <w:rPr>
          <w:rFonts w:cs="Arial"/>
          <w:b/>
        </w:rPr>
      </w:pPr>
      <w:r w:rsidRPr="000F4604">
        <w:rPr>
          <w:rFonts w:cs="Arial"/>
          <w:b/>
        </w:rPr>
        <w:t>Guidance on the Public Sector Equality Duty</w:t>
      </w:r>
      <w:r w:rsidR="003F74E0" w:rsidRPr="000F4604">
        <w:rPr>
          <w:rFonts w:cs="Arial"/>
          <w:b/>
        </w:rPr>
        <w:t>, 2011</w:t>
      </w:r>
    </w:p>
    <w:p w:rsidR="00C90368" w:rsidRPr="000F4604" w:rsidRDefault="00C90368" w:rsidP="00681CD4">
      <w:pPr>
        <w:spacing w:after="0" w:line="240" w:lineRule="auto"/>
        <w:jc w:val="both"/>
        <w:rPr>
          <w:rFonts w:cs="Arial"/>
          <w:b/>
        </w:rPr>
      </w:pPr>
    </w:p>
    <w:p w:rsidR="00C90368" w:rsidRPr="000F4604" w:rsidRDefault="00C90368" w:rsidP="00681CD4">
      <w:pPr>
        <w:spacing w:after="0" w:line="240" w:lineRule="auto"/>
        <w:jc w:val="both"/>
        <w:rPr>
          <w:rFonts w:cs="Arial"/>
        </w:rPr>
      </w:pPr>
      <w:r w:rsidRPr="000F4604">
        <w:rPr>
          <w:rFonts w:cs="Arial"/>
        </w:rPr>
        <w:t>The Public Sector Equality Duty is made up of a General Equality Duty which is supported by Specific Duties.</w:t>
      </w:r>
    </w:p>
    <w:p w:rsidR="00C90368" w:rsidRPr="000F4604" w:rsidRDefault="00C90368" w:rsidP="00681CD4">
      <w:pPr>
        <w:spacing w:after="0" w:line="240" w:lineRule="auto"/>
        <w:jc w:val="both"/>
        <w:rPr>
          <w:rFonts w:cs="Arial"/>
        </w:rPr>
      </w:pPr>
    </w:p>
    <w:p w:rsidR="00C90368" w:rsidRPr="000F4604" w:rsidRDefault="00C90368" w:rsidP="00681CD4">
      <w:pPr>
        <w:spacing w:after="0" w:line="240" w:lineRule="auto"/>
        <w:jc w:val="both"/>
        <w:rPr>
          <w:rFonts w:cs="Arial"/>
        </w:rPr>
      </w:pPr>
      <w:r w:rsidRPr="000F4604">
        <w:rPr>
          <w:rFonts w:cs="Arial"/>
        </w:rPr>
        <w:t>The General Equality Duty requires public authorities, in the exercise of their functions, to have due regard to the need to:</w:t>
      </w:r>
    </w:p>
    <w:p w:rsidR="00C90368" w:rsidRPr="000F4604" w:rsidRDefault="00C90368" w:rsidP="00681CD4">
      <w:pPr>
        <w:spacing w:after="0" w:line="240" w:lineRule="auto"/>
        <w:jc w:val="both"/>
        <w:rPr>
          <w:rFonts w:cs="Arial"/>
        </w:rPr>
      </w:pPr>
    </w:p>
    <w:p w:rsidR="00C90368" w:rsidRPr="000F4604" w:rsidRDefault="00C90368" w:rsidP="00681CD4">
      <w:pPr>
        <w:pStyle w:val="ListParagraph"/>
        <w:numPr>
          <w:ilvl w:val="0"/>
          <w:numId w:val="1"/>
        </w:numPr>
        <w:spacing w:after="0" w:line="240" w:lineRule="auto"/>
        <w:jc w:val="both"/>
        <w:rPr>
          <w:rFonts w:ascii="Arial" w:hAnsi="Arial" w:cs="Arial"/>
        </w:rPr>
      </w:pPr>
      <w:r w:rsidRPr="000F4604">
        <w:rPr>
          <w:rFonts w:ascii="Arial" w:hAnsi="Arial" w:cs="Arial"/>
        </w:rPr>
        <w:t>Eliminate discrimination, harassment and victimisation and any other conduct that is prohibited by or under the Equality Act 2010.</w:t>
      </w:r>
    </w:p>
    <w:p w:rsidR="00C90368" w:rsidRPr="000F4604" w:rsidRDefault="00C90368" w:rsidP="00681CD4">
      <w:pPr>
        <w:pStyle w:val="ListParagraph"/>
        <w:numPr>
          <w:ilvl w:val="0"/>
          <w:numId w:val="1"/>
        </w:numPr>
        <w:spacing w:after="0" w:line="240" w:lineRule="auto"/>
        <w:jc w:val="both"/>
        <w:rPr>
          <w:rFonts w:ascii="Arial" w:hAnsi="Arial" w:cs="Arial"/>
        </w:rPr>
      </w:pPr>
      <w:r w:rsidRPr="000F4604">
        <w:rPr>
          <w:rFonts w:ascii="Arial" w:hAnsi="Arial" w:cs="Arial"/>
        </w:rPr>
        <w:t>Advance equality of opportunity between people who share a relevant protected characteristic and people who do not share it.</w:t>
      </w:r>
    </w:p>
    <w:p w:rsidR="00C90368" w:rsidRPr="000F4604" w:rsidRDefault="00C90368" w:rsidP="00681CD4">
      <w:pPr>
        <w:pStyle w:val="ListParagraph"/>
        <w:numPr>
          <w:ilvl w:val="0"/>
          <w:numId w:val="1"/>
        </w:numPr>
        <w:spacing w:after="0" w:line="240" w:lineRule="auto"/>
        <w:jc w:val="both"/>
        <w:rPr>
          <w:rFonts w:ascii="Arial" w:hAnsi="Arial" w:cs="Arial"/>
        </w:rPr>
      </w:pPr>
      <w:r w:rsidRPr="000F4604">
        <w:rPr>
          <w:rFonts w:ascii="Arial" w:hAnsi="Arial" w:cs="Arial"/>
        </w:rPr>
        <w:t>Foster good relations between people who share a relevant protected characteristic and those who do not share it.</w:t>
      </w:r>
    </w:p>
    <w:p w:rsidR="00C90368" w:rsidRPr="000F4604" w:rsidRDefault="00C90368" w:rsidP="00681CD4">
      <w:pPr>
        <w:spacing w:after="0" w:line="240" w:lineRule="auto"/>
        <w:jc w:val="both"/>
        <w:rPr>
          <w:rFonts w:cs="Arial"/>
        </w:rPr>
      </w:pPr>
    </w:p>
    <w:p w:rsidR="00C90368" w:rsidRPr="000F4604" w:rsidRDefault="00C90368" w:rsidP="00681CD4">
      <w:pPr>
        <w:spacing w:after="0" w:line="240" w:lineRule="auto"/>
        <w:jc w:val="both"/>
        <w:rPr>
          <w:rFonts w:cs="Arial"/>
        </w:rPr>
      </w:pPr>
      <w:r w:rsidRPr="000F4604">
        <w:rPr>
          <w:rFonts w:cs="Arial"/>
        </w:rPr>
        <w:t>Public authorities, including Central College Nottingham, listed in Schedule 1 and 2 of The Equality Act 2010 (Specific Duties) Regulations 2011 (the specific duties) are required to show functional transparency by:</w:t>
      </w:r>
    </w:p>
    <w:p w:rsidR="00C90368" w:rsidRPr="000F4604" w:rsidRDefault="00C90368" w:rsidP="00681CD4">
      <w:pPr>
        <w:spacing w:after="0" w:line="240" w:lineRule="auto"/>
        <w:jc w:val="both"/>
        <w:rPr>
          <w:rFonts w:cs="Arial"/>
        </w:rPr>
      </w:pPr>
    </w:p>
    <w:p w:rsidR="00C90368" w:rsidRPr="000F4604" w:rsidRDefault="00C90368" w:rsidP="00681CD4">
      <w:pPr>
        <w:pStyle w:val="ListParagraph"/>
        <w:numPr>
          <w:ilvl w:val="0"/>
          <w:numId w:val="2"/>
        </w:numPr>
        <w:spacing w:after="0" w:line="240" w:lineRule="auto"/>
        <w:jc w:val="both"/>
        <w:rPr>
          <w:rFonts w:ascii="Arial" w:hAnsi="Arial" w:cs="Arial"/>
        </w:rPr>
      </w:pPr>
      <w:r w:rsidRPr="000F4604">
        <w:rPr>
          <w:rFonts w:ascii="Arial" w:hAnsi="Arial" w:cs="Arial"/>
        </w:rPr>
        <w:t>Preparing and publishing one or more equality objectives which can be achieved to do any of the things mentioned in the aims of the General</w:t>
      </w:r>
      <w:r w:rsidR="00F63E1D" w:rsidRPr="000F4604">
        <w:rPr>
          <w:rFonts w:ascii="Arial" w:hAnsi="Arial" w:cs="Arial"/>
        </w:rPr>
        <w:t xml:space="preserve"> Equality Duty, by 6 April 2012</w:t>
      </w:r>
      <w:r w:rsidRPr="000F4604">
        <w:rPr>
          <w:rFonts w:ascii="Arial" w:hAnsi="Arial" w:cs="Arial"/>
        </w:rPr>
        <w:t xml:space="preserve"> and at least every four years thereafter.</w:t>
      </w:r>
    </w:p>
    <w:p w:rsidR="00C90368" w:rsidRPr="000F4604" w:rsidRDefault="00C90368" w:rsidP="00681CD4">
      <w:pPr>
        <w:pStyle w:val="ListParagraph"/>
        <w:spacing w:after="0" w:line="240" w:lineRule="auto"/>
        <w:jc w:val="both"/>
        <w:rPr>
          <w:rFonts w:ascii="Arial" w:hAnsi="Arial" w:cs="Arial"/>
        </w:rPr>
      </w:pPr>
    </w:p>
    <w:p w:rsidR="00C90368" w:rsidRPr="000F4604" w:rsidRDefault="00C90368" w:rsidP="00681CD4">
      <w:pPr>
        <w:pStyle w:val="ListParagraph"/>
        <w:numPr>
          <w:ilvl w:val="0"/>
          <w:numId w:val="2"/>
        </w:numPr>
        <w:spacing w:after="0" w:line="240" w:lineRule="auto"/>
        <w:jc w:val="both"/>
        <w:rPr>
          <w:rFonts w:ascii="Arial" w:hAnsi="Arial" w:cs="Arial"/>
        </w:rPr>
      </w:pPr>
      <w:r w:rsidRPr="000F4604">
        <w:rPr>
          <w:rFonts w:ascii="Arial" w:hAnsi="Arial" w:cs="Arial"/>
        </w:rPr>
        <w:t>Ensuring that those equality objectives are specific and measurable.</w:t>
      </w:r>
    </w:p>
    <w:p w:rsidR="00C90368" w:rsidRPr="000F4604" w:rsidRDefault="00C90368" w:rsidP="00681CD4">
      <w:pPr>
        <w:pStyle w:val="ListParagraph"/>
        <w:spacing w:after="0" w:line="240" w:lineRule="auto"/>
        <w:jc w:val="both"/>
        <w:rPr>
          <w:rFonts w:ascii="Arial" w:hAnsi="Arial" w:cs="Arial"/>
        </w:rPr>
      </w:pPr>
    </w:p>
    <w:p w:rsidR="0036304D" w:rsidRPr="000F4604" w:rsidRDefault="00C90368" w:rsidP="00681CD4">
      <w:pPr>
        <w:pStyle w:val="ListParagraph"/>
        <w:numPr>
          <w:ilvl w:val="0"/>
          <w:numId w:val="2"/>
        </w:numPr>
        <w:spacing w:after="0" w:line="240" w:lineRule="auto"/>
        <w:jc w:val="both"/>
        <w:rPr>
          <w:rFonts w:ascii="Arial" w:hAnsi="Arial" w:cs="Arial"/>
        </w:rPr>
      </w:pPr>
      <w:r w:rsidRPr="000F4604">
        <w:rPr>
          <w:rFonts w:ascii="Arial" w:hAnsi="Arial" w:cs="Arial"/>
        </w:rPr>
        <w:t>Publishing those equality objectives in such a manner that they are accessible to the public.</w:t>
      </w:r>
    </w:p>
    <w:p w:rsidR="0036304D" w:rsidRPr="000F4604" w:rsidRDefault="0036304D" w:rsidP="00681CD4">
      <w:pPr>
        <w:spacing w:after="0" w:line="240" w:lineRule="auto"/>
        <w:rPr>
          <w:rFonts w:cs="Arial"/>
        </w:rPr>
      </w:pPr>
    </w:p>
    <w:sectPr w:rsidR="0036304D" w:rsidRPr="000F4604" w:rsidSect="002A367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BF5" w:rsidRDefault="00862BF5" w:rsidP="00C824F4">
      <w:pPr>
        <w:spacing w:after="0" w:line="240" w:lineRule="auto"/>
      </w:pPr>
      <w:r>
        <w:separator/>
      </w:r>
    </w:p>
  </w:endnote>
  <w:endnote w:type="continuationSeparator" w:id="0">
    <w:p w:rsidR="00862BF5" w:rsidRDefault="00862BF5" w:rsidP="00C8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D4" w:rsidRDefault="00681CD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2015 Annual EDI </w:t>
    </w:r>
    <w:r w:rsidR="00832D7F">
      <w:rPr>
        <w:rFonts w:asciiTheme="majorHAnsi" w:eastAsiaTheme="majorEastAsia" w:hAnsiTheme="majorHAnsi" w:cstheme="majorBidi"/>
      </w:rPr>
      <w:t>report</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1672B4" w:rsidRPr="001672B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81CD4" w:rsidRDefault="00681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BF5" w:rsidRDefault="00862BF5" w:rsidP="00C824F4">
      <w:pPr>
        <w:spacing w:after="0" w:line="240" w:lineRule="auto"/>
      </w:pPr>
      <w:r>
        <w:separator/>
      </w:r>
    </w:p>
  </w:footnote>
  <w:footnote w:type="continuationSeparator" w:id="0">
    <w:p w:rsidR="00862BF5" w:rsidRDefault="00862BF5" w:rsidP="00C824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6CA2"/>
    <w:multiLevelType w:val="hybridMultilevel"/>
    <w:tmpl w:val="4B9CFA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CA78F5"/>
    <w:multiLevelType w:val="hybridMultilevel"/>
    <w:tmpl w:val="30C66C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5DC675D"/>
    <w:multiLevelType w:val="hybridMultilevel"/>
    <w:tmpl w:val="E76EE290"/>
    <w:lvl w:ilvl="0" w:tplc="6F6E4704">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95F41CB"/>
    <w:multiLevelType w:val="hybridMultilevel"/>
    <w:tmpl w:val="75C0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A11F02"/>
    <w:multiLevelType w:val="hybridMultilevel"/>
    <w:tmpl w:val="6CEC082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CF01217"/>
    <w:multiLevelType w:val="hybridMultilevel"/>
    <w:tmpl w:val="779401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0D6F7B59"/>
    <w:multiLevelType w:val="hybridMultilevel"/>
    <w:tmpl w:val="F8AC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161E78"/>
    <w:multiLevelType w:val="hybridMultilevel"/>
    <w:tmpl w:val="C682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D706FB"/>
    <w:multiLevelType w:val="hybridMultilevel"/>
    <w:tmpl w:val="06FC3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44A7E8C"/>
    <w:multiLevelType w:val="hybridMultilevel"/>
    <w:tmpl w:val="25B2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017946"/>
    <w:multiLevelType w:val="hybridMultilevel"/>
    <w:tmpl w:val="7DB02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5A5925"/>
    <w:multiLevelType w:val="hybridMultilevel"/>
    <w:tmpl w:val="5C7EA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85E4602"/>
    <w:multiLevelType w:val="hybridMultilevel"/>
    <w:tmpl w:val="F80EEB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2CD21DD4"/>
    <w:multiLevelType w:val="multilevel"/>
    <w:tmpl w:val="17D6BC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6A6FC6"/>
    <w:multiLevelType w:val="hybridMultilevel"/>
    <w:tmpl w:val="B7A4B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E61035B"/>
    <w:multiLevelType w:val="hybridMultilevel"/>
    <w:tmpl w:val="DC0C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AB083C"/>
    <w:multiLevelType w:val="hybridMultilevel"/>
    <w:tmpl w:val="32B00A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33866B7B"/>
    <w:multiLevelType w:val="hybridMultilevel"/>
    <w:tmpl w:val="5D061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347905"/>
    <w:multiLevelType w:val="hybridMultilevel"/>
    <w:tmpl w:val="5F2C8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691541"/>
    <w:multiLevelType w:val="hybridMultilevel"/>
    <w:tmpl w:val="3B687F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CC55D7E"/>
    <w:multiLevelType w:val="hybridMultilevel"/>
    <w:tmpl w:val="773A55B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nsid w:val="4D6B3E89"/>
    <w:multiLevelType w:val="hybridMultilevel"/>
    <w:tmpl w:val="AB62706E"/>
    <w:lvl w:ilvl="0" w:tplc="6F6E4704">
      <w:start w:val="1"/>
      <w:numFmt w:val="decimal"/>
      <w:lvlText w:val="%1."/>
      <w:lvlJc w:val="left"/>
      <w:pPr>
        <w:ind w:left="720" w:hanging="360"/>
      </w:pPr>
      <w:rPr>
        <w:color w:val="00000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4DAA4AF1"/>
    <w:multiLevelType w:val="hybridMultilevel"/>
    <w:tmpl w:val="FD7E561E"/>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3">
    <w:nsid w:val="4DCE2170"/>
    <w:multiLevelType w:val="hybridMultilevel"/>
    <w:tmpl w:val="E62EFD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3DF494B"/>
    <w:multiLevelType w:val="hybridMultilevel"/>
    <w:tmpl w:val="08C85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643621"/>
    <w:multiLevelType w:val="hybridMultilevel"/>
    <w:tmpl w:val="C1BC01D2"/>
    <w:lvl w:ilvl="0" w:tplc="6F6E4704">
      <w:start w:val="1"/>
      <w:numFmt w:val="decimal"/>
      <w:lvlText w:val="%1."/>
      <w:lvlJc w:val="left"/>
      <w:pPr>
        <w:ind w:left="720" w:hanging="360"/>
      </w:pPr>
      <w:rPr>
        <w:color w:val="00000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5B2972B2"/>
    <w:multiLevelType w:val="hybridMultilevel"/>
    <w:tmpl w:val="E1E224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nsid w:val="63556D8A"/>
    <w:multiLevelType w:val="hybridMultilevel"/>
    <w:tmpl w:val="3CDADD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nsid w:val="64393826"/>
    <w:multiLevelType w:val="hybridMultilevel"/>
    <w:tmpl w:val="A9D61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D33B9C"/>
    <w:multiLevelType w:val="hybridMultilevel"/>
    <w:tmpl w:val="42E4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4D0EC9"/>
    <w:multiLevelType w:val="multilevel"/>
    <w:tmpl w:val="EE7A3C9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D646859"/>
    <w:multiLevelType w:val="hybridMultilevel"/>
    <w:tmpl w:val="FA5EA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AA72CB"/>
    <w:multiLevelType w:val="hybridMultilevel"/>
    <w:tmpl w:val="31723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C13A03"/>
    <w:multiLevelType w:val="hybridMultilevel"/>
    <w:tmpl w:val="B24804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D086659"/>
    <w:multiLevelType w:val="hybridMultilevel"/>
    <w:tmpl w:val="8702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6F092B"/>
    <w:multiLevelType w:val="hybridMultilevel"/>
    <w:tmpl w:val="C9F2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32"/>
  </w:num>
  <w:num w:numId="4">
    <w:abstractNumId w:val="18"/>
  </w:num>
  <w:num w:numId="5">
    <w:abstractNumId w:val="33"/>
  </w:num>
  <w:num w:numId="6">
    <w:abstractNumId w:val="17"/>
  </w:num>
  <w:num w:numId="7">
    <w:abstractNumId w:val="9"/>
  </w:num>
  <w:num w:numId="8">
    <w:abstractNumId w:val="16"/>
  </w:num>
  <w:num w:numId="9">
    <w:abstractNumId w:val="12"/>
  </w:num>
  <w:num w:numId="10">
    <w:abstractNumId w:val="4"/>
  </w:num>
  <w:num w:numId="11">
    <w:abstractNumId w:val="13"/>
  </w:num>
  <w:num w:numId="12">
    <w:abstractNumId w:val="30"/>
  </w:num>
  <w:num w:numId="13">
    <w:abstractNumId w:val="29"/>
  </w:num>
  <w:num w:numId="14">
    <w:abstractNumId w:val="1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7"/>
  </w:num>
  <w:num w:numId="19">
    <w:abstractNumId w:val="27"/>
  </w:num>
  <w:num w:numId="20">
    <w:abstractNumId w:val="11"/>
  </w:num>
  <w:num w:numId="21">
    <w:abstractNumId w:val="14"/>
  </w:num>
  <w:num w:numId="22">
    <w:abstractNumId w:val="23"/>
  </w:num>
  <w:num w:numId="23">
    <w:abstractNumId w:val="8"/>
  </w:num>
  <w:num w:numId="24">
    <w:abstractNumId w:val="2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5"/>
  </w:num>
  <w:num w:numId="28">
    <w:abstractNumId w:val="21"/>
  </w:num>
  <w:num w:numId="29">
    <w:abstractNumId w:val="35"/>
  </w:num>
  <w:num w:numId="30">
    <w:abstractNumId w:val="34"/>
  </w:num>
  <w:num w:numId="31">
    <w:abstractNumId w:val="5"/>
  </w:num>
  <w:num w:numId="32">
    <w:abstractNumId w:val="26"/>
  </w:num>
  <w:num w:numId="33">
    <w:abstractNumId w:val="0"/>
  </w:num>
  <w:num w:numId="34">
    <w:abstractNumId w:val="28"/>
  </w:num>
  <w:num w:numId="35">
    <w:abstractNumId w:val="31"/>
  </w:num>
  <w:num w:numId="36">
    <w:abstractNumId w:val="19"/>
  </w:num>
  <w:num w:numId="37">
    <w:abstractNumId w:val="24"/>
  </w:num>
  <w:num w:numId="3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4F4"/>
    <w:rsid w:val="000169BB"/>
    <w:rsid w:val="000318D4"/>
    <w:rsid w:val="00046654"/>
    <w:rsid w:val="0004736A"/>
    <w:rsid w:val="0005031A"/>
    <w:rsid w:val="000504ED"/>
    <w:rsid w:val="00051855"/>
    <w:rsid w:val="000602A9"/>
    <w:rsid w:val="000620E0"/>
    <w:rsid w:val="0006667D"/>
    <w:rsid w:val="000773BE"/>
    <w:rsid w:val="00085B99"/>
    <w:rsid w:val="0009354F"/>
    <w:rsid w:val="000A6B54"/>
    <w:rsid w:val="000B3477"/>
    <w:rsid w:val="000D10A0"/>
    <w:rsid w:val="000F4604"/>
    <w:rsid w:val="00104A78"/>
    <w:rsid w:val="0012188C"/>
    <w:rsid w:val="00160F5A"/>
    <w:rsid w:val="00161AFF"/>
    <w:rsid w:val="0016345F"/>
    <w:rsid w:val="001672B4"/>
    <w:rsid w:val="00187DC4"/>
    <w:rsid w:val="001A24E7"/>
    <w:rsid w:val="001B4485"/>
    <w:rsid w:val="001B5E59"/>
    <w:rsid w:val="001C0EDD"/>
    <w:rsid w:val="001D4ABC"/>
    <w:rsid w:val="001D4FA1"/>
    <w:rsid w:val="001E1113"/>
    <w:rsid w:val="001E3B13"/>
    <w:rsid w:val="001F0514"/>
    <w:rsid w:val="0020591E"/>
    <w:rsid w:val="00215F57"/>
    <w:rsid w:val="0023028F"/>
    <w:rsid w:val="00247550"/>
    <w:rsid w:val="00252D23"/>
    <w:rsid w:val="00263B09"/>
    <w:rsid w:val="00264D41"/>
    <w:rsid w:val="00275D26"/>
    <w:rsid w:val="00295C0C"/>
    <w:rsid w:val="002A3679"/>
    <w:rsid w:val="002A67EA"/>
    <w:rsid w:val="002B198B"/>
    <w:rsid w:val="002D41FF"/>
    <w:rsid w:val="00301CCA"/>
    <w:rsid w:val="00312975"/>
    <w:rsid w:val="00313E40"/>
    <w:rsid w:val="003251A9"/>
    <w:rsid w:val="00332542"/>
    <w:rsid w:val="00350457"/>
    <w:rsid w:val="00350AF5"/>
    <w:rsid w:val="0035471C"/>
    <w:rsid w:val="003565BC"/>
    <w:rsid w:val="00361861"/>
    <w:rsid w:val="0036304D"/>
    <w:rsid w:val="00372B53"/>
    <w:rsid w:val="0039704B"/>
    <w:rsid w:val="003A3A04"/>
    <w:rsid w:val="003B39A7"/>
    <w:rsid w:val="003C1A42"/>
    <w:rsid w:val="003D61D5"/>
    <w:rsid w:val="003F74E0"/>
    <w:rsid w:val="004266FF"/>
    <w:rsid w:val="00433AC1"/>
    <w:rsid w:val="004414B5"/>
    <w:rsid w:val="004420D5"/>
    <w:rsid w:val="00444F8D"/>
    <w:rsid w:val="00446D14"/>
    <w:rsid w:val="00447023"/>
    <w:rsid w:val="00447FA7"/>
    <w:rsid w:val="00454D3C"/>
    <w:rsid w:val="00474FC2"/>
    <w:rsid w:val="00496655"/>
    <w:rsid w:val="004E255C"/>
    <w:rsid w:val="004F3DAE"/>
    <w:rsid w:val="0050163C"/>
    <w:rsid w:val="00512DD2"/>
    <w:rsid w:val="00517115"/>
    <w:rsid w:val="00532B6B"/>
    <w:rsid w:val="0053456D"/>
    <w:rsid w:val="00544BC1"/>
    <w:rsid w:val="00554DED"/>
    <w:rsid w:val="00567BE1"/>
    <w:rsid w:val="00574CF9"/>
    <w:rsid w:val="00577362"/>
    <w:rsid w:val="00587497"/>
    <w:rsid w:val="00596C1A"/>
    <w:rsid w:val="005A13FD"/>
    <w:rsid w:val="005B1BCF"/>
    <w:rsid w:val="005B602D"/>
    <w:rsid w:val="005C1904"/>
    <w:rsid w:val="005C1EE1"/>
    <w:rsid w:val="005D4483"/>
    <w:rsid w:val="005E3739"/>
    <w:rsid w:val="005E507E"/>
    <w:rsid w:val="005F5185"/>
    <w:rsid w:val="00620877"/>
    <w:rsid w:val="006425EB"/>
    <w:rsid w:val="00643AFE"/>
    <w:rsid w:val="00662BB6"/>
    <w:rsid w:val="00681CD4"/>
    <w:rsid w:val="00690D3C"/>
    <w:rsid w:val="00692E69"/>
    <w:rsid w:val="006948BE"/>
    <w:rsid w:val="006B6A5B"/>
    <w:rsid w:val="006C3521"/>
    <w:rsid w:val="006C42AF"/>
    <w:rsid w:val="006D1B97"/>
    <w:rsid w:val="006E016C"/>
    <w:rsid w:val="00703A44"/>
    <w:rsid w:val="00712C88"/>
    <w:rsid w:val="00714361"/>
    <w:rsid w:val="00715647"/>
    <w:rsid w:val="00727F0F"/>
    <w:rsid w:val="00732032"/>
    <w:rsid w:val="00733A91"/>
    <w:rsid w:val="007370ED"/>
    <w:rsid w:val="00740859"/>
    <w:rsid w:val="007456A3"/>
    <w:rsid w:val="00767BF9"/>
    <w:rsid w:val="00772960"/>
    <w:rsid w:val="00786ED8"/>
    <w:rsid w:val="00796A75"/>
    <w:rsid w:val="007A6BC4"/>
    <w:rsid w:val="007A6CA9"/>
    <w:rsid w:val="007B54DF"/>
    <w:rsid w:val="007C13E6"/>
    <w:rsid w:val="007D0B66"/>
    <w:rsid w:val="007F6BF6"/>
    <w:rsid w:val="00801BA9"/>
    <w:rsid w:val="008074FC"/>
    <w:rsid w:val="00811B79"/>
    <w:rsid w:val="008320C4"/>
    <w:rsid w:val="00832D7F"/>
    <w:rsid w:val="00855AA0"/>
    <w:rsid w:val="00862063"/>
    <w:rsid w:val="00862BF5"/>
    <w:rsid w:val="00865141"/>
    <w:rsid w:val="0087504B"/>
    <w:rsid w:val="00881347"/>
    <w:rsid w:val="00883CF3"/>
    <w:rsid w:val="0088642E"/>
    <w:rsid w:val="008920A9"/>
    <w:rsid w:val="0089649B"/>
    <w:rsid w:val="0089680B"/>
    <w:rsid w:val="008C1763"/>
    <w:rsid w:val="008D5EA4"/>
    <w:rsid w:val="0090650C"/>
    <w:rsid w:val="00911EF2"/>
    <w:rsid w:val="009244F5"/>
    <w:rsid w:val="009371D8"/>
    <w:rsid w:val="009409E8"/>
    <w:rsid w:val="00965CF2"/>
    <w:rsid w:val="009A2E09"/>
    <w:rsid w:val="009A74C7"/>
    <w:rsid w:val="009B066B"/>
    <w:rsid w:val="009C2202"/>
    <w:rsid w:val="009C2AA9"/>
    <w:rsid w:val="009D3F05"/>
    <w:rsid w:val="009E044B"/>
    <w:rsid w:val="009E41AE"/>
    <w:rsid w:val="00A005E4"/>
    <w:rsid w:val="00A141CB"/>
    <w:rsid w:val="00A204A0"/>
    <w:rsid w:val="00A262B9"/>
    <w:rsid w:val="00A5581D"/>
    <w:rsid w:val="00A83902"/>
    <w:rsid w:val="00AA7783"/>
    <w:rsid w:val="00AB62C3"/>
    <w:rsid w:val="00AC23C1"/>
    <w:rsid w:val="00AD4D57"/>
    <w:rsid w:val="00AF1A07"/>
    <w:rsid w:val="00AF7C48"/>
    <w:rsid w:val="00B27361"/>
    <w:rsid w:val="00B27B23"/>
    <w:rsid w:val="00B45EEA"/>
    <w:rsid w:val="00B76767"/>
    <w:rsid w:val="00B76C10"/>
    <w:rsid w:val="00B778E6"/>
    <w:rsid w:val="00B853E8"/>
    <w:rsid w:val="00B97699"/>
    <w:rsid w:val="00BE37C2"/>
    <w:rsid w:val="00BF66C0"/>
    <w:rsid w:val="00BF7AC2"/>
    <w:rsid w:val="00C00B5F"/>
    <w:rsid w:val="00C06FF1"/>
    <w:rsid w:val="00C148AD"/>
    <w:rsid w:val="00C35AD6"/>
    <w:rsid w:val="00C3704F"/>
    <w:rsid w:val="00C4524F"/>
    <w:rsid w:val="00C4551E"/>
    <w:rsid w:val="00C47A0F"/>
    <w:rsid w:val="00C72439"/>
    <w:rsid w:val="00C73624"/>
    <w:rsid w:val="00C824F4"/>
    <w:rsid w:val="00C869D2"/>
    <w:rsid w:val="00C90368"/>
    <w:rsid w:val="00C94EC0"/>
    <w:rsid w:val="00C9667C"/>
    <w:rsid w:val="00CA3D1A"/>
    <w:rsid w:val="00CA556F"/>
    <w:rsid w:val="00CB69D3"/>
    <w:rsid w:val="00CB7440"/>
    <w:rsid w:val="00CC17A4"/>
    <w:rsid w:val="00CC729F"/>
    <w:rsid w:val="00CD785F"/>
    <w:rsid w:val="00CF20DB"/>
    <w:rsid w:val="00D528C8"/>
    <w:rsid w:val="00D607D0"/>
    <w:rsid w:val="00D61FA9"/>
    <w:rsid w:val="00D72DB2"/>
    <w:rsid w:val="00D8347C"/>
    <w:rsid w:val="00D83A0E"/>
    <w:rsid w:val="00D869EE"/>
    <w:rsid w:val="00D94E87"/>
    <w:rsid w:val="00DA1225"/>
    <w:rsid w:val="00DA6554"/>
    <w:rsid w:val="00DA745B"/>
    <w:rsid w:val="00DC25CD"/>
    <w:rsid w:val="00DC4A48"/>
    <w:rsid w:val="00DD0860"/>
    <w:rsid w:val="00DE4036"/>
    <w:rsid w:val="00DF54BB"/>
    <w:rsid w:val="00DF613D"/>
    <w:rsid w:val="00DF665E"/>
    <w:rsid w:val="00E03F58"/>
    <w:rsid w:val="00E1715D"/>
    <w:rsid w:val="00E24178"/>
    <w:rsid w:val="00E5013F"/>
    <w:rsid w:val="00E535EA"/>
    <w:rsid w:val="00E57CD7"/>
    <w:rsid w:val="00E60AFC"/>
    <w:rsid w:val="00E621BD"/>
    <w:rsid w:val="00E71D58"/>
    <w:rsid w:val="00E82BAB"/>
    <w:rsid w:val="00E8325C"/>
    <w:rsid w:val="00E9743B"/>
    <w:rsid w:val="00EA25ED"/>
    <w:rsid w:val="00EA4F0B"/>
    <w:rsid w:val="00EB2368"/>
    <w:rsid w:val="00EB6F68"/>
    <w:rsid w:val="00ED43E8"/>
    <w:rsid w:val="00EF74A5"/>
    <w:rsid w:val="00F00A6C"/>
    <w:rsid w:val="00F06579"/>
    <w:rsid w:val="00F22FF8"/>
    <w:rsid w:val="00F23449"/>
    <w:rsid w:val="00F25FE0"/>
    <w:rsid w:val="00F32F58"/>
    <w:rsid w:val="00F458CD"/>
    <w:rsid w:val="00F5150B"/>
    <w:rsid w:val="00F57A6B"/>
    <w:rsid w:val="00F6052C"/>
    <w:rsid w:val="00F6315C"/>
    <w:rsid w:val="00F63E1D"/>
    <w:rsid w:val="00F7488D"/>
    <w:rsid w:val="00F8242B"/>
    <w:rsid w:val="00F9469E"/>
    <w:rsid w:val="00FA00F9"/>
    <w:rsid w:val="00FA35D8"/>
    <w:rsid w:val="00FA70DA"/>
    <w:rsid w:val="00FC4C45"/>
    <w:rsid w:val="00FE543F"/>
    <w:rsid w:val="00FE6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18D4"/>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4F4"/>
    <w:rPr>
      <w:rFonts w:ascii="Tahoma" w:hAnsi="Tahoma" w:cs="Tahoma"/>
      <w:sz w:val="16"/>
      <w:szCs w:val="16"/>
    </w:rPr>
  </w:style>
  <w:style w:type="paragraph" w:styleId="Header">
    <w:name w:val="header"/>
    <w:basedOn w:val="Normal"/>
    <w:link w:val="HeaderChar"/>
    <w:uiPriority w:val="99"/>
    <w:unhideWhenUsed/>
    <w:rsid w:val="00C82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4F4"/>
  </w:style>
  <w:style w:type="paragraph" w:styleId="Footer">
    <w:name w:val="footer"/>
    <w:basedOn w:val="Normal"/>
    <w:link w:val="FooterChar"/>
    <w:uiPriority w:val="99"/>
    <w:unhideWhenUsed/>
    <w:rsid w:val="00C82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4F4"/>
  </w:style>
  <w:style w:type="paragraph" w:styleId="ListParagraph">
    <w:name w:val="List Paragraph"/>
    <w:basedOn w:val="Normal"/>
    <w:uiPriority w:val="34"/>
    <w:qFormat/>
    <w:rsid w:val="00C90368"/>
    <w:pPr>
      <w:ind w:left="720"/>
      <w:contextualSpacing/>
    </w:pPr>
    <w:rPr>
      <w:rFonts w:asciiTheme="minorHAnsi" w:hAnsiTheme="minorHAnsi"/>
    </w:rPr>
  </w:style>
  <w:style w:type="table" w:styleId="TableGrid">
    <w:name w:val="Table Grid"/>
    <w:basedOn w:val="TableNormal"/>
    <w:uiPriority w:val="59"/>
    <w:rsid w:val="00313E40"/>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318D4"/>
    <w:rPr>
      <w:rFonts w:ascii="Cambria" w:eastAsia="Times New Roman" w:hAnsi="Cambria" w:cs="Times New Roman"/>
      <w:b/>
      <w:bCs/>
      <w:color w:val="365F91"/>
      <w:sz w:val="28"/>
      <w:szCs w:val="28"/>
    </w:rPr>
  </w:style>
  <w:style w:type="character" w:styleId="Hyperlink">
    <w:name w:val="Hyperlink"/>
    <w:rsid w:val="00C06FF1"/>
    <w:rPr>
      <w:color w:val="0000FF"/>
      <w:u w:val="single"/>
    </w:rPr>
  </w:style>
  <w:style w:type="paragraph" w:styleId="NormalWeb">
    <w:name w:val="Normal (Web)"/>
    <w:basedOn w:val="Normal"/>
    <w:uiPriority w:val="99"/>
    <w:semiHidden/>
    <w:unhideWhenUsed/>
    <w:rsid w:val="000D10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D43E8"/>
    <w:pPr>
      <w:autoSpaceDE w:val="0"/>
      <w:autoSpaceDN w:val="0"/>
      <w:adjustRightInd w:val="0"/>
      <w:spacing w:after="0" w:line="240" w:lineRule="auto"/>
    </w:pPr>
    <w:rPr>
      <w:rFonts w:eastAsia="Calibri" w:cs="Arial"/>
      <w:color w:val="000000"/>
      <w:sz w:val="24"/>
      <w:szCs w:val="24"/>
      <w:lang w:eastAsia="en-GB"/>
    </w:rPr>
  </w:style>
  <w:style w:type="character" w:styleId="Emphasis">
    <w:name w:val="Emphasis"/>
    <w:basedOn w:val="DefaultParagraphFont"/>
    <w:uiPriority w:val="20"/>
    <w:qFormat/>
    <w:rsid w:val="00FA00F9"/>
    <w:rPr>
      <w:i/>
      <w:iCs/>
      <w:color w:val="555555"/>
    </w:rPr>
  </w:style>
  <w:style w:type="paragraph" w:styleId="PlainText">
    <w:name w:val="Plain Text"/>
    <w:basedOn w:val="Normal"/>
    <w:link w:val="PlainTextChar"/>
    <w:uiPriority w:val="99"/>
    <w:semiHidden/>
    <w:unhideWhenUsed/>
    <w:rsid w:val="00D834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8347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18D4"/>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4F4"/>
    <w:rPr>
      <w:rFonts w:ascii="Tahoma" w:hAnsi="Tahoma" w:cs="Tahoma"/>
      <w:sz w:val="16"/>
      <w:szCs w:val="16"/>
    </w:rPr>
  </w:style>
  <w:style w:type="paragraph" w:styleId="Header">
    <w:name w:val="header"/>
    <w:basedOn w:val="Normal"/>
    <w:link w:val="HeaderChar"/>
    <w:uiPriority w:val="99"/>
    <w:unhideWhenUsed/>
    <w:rsid w:val="00C82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4F4"/>
  </w:style>
  <w:style w:type="paragraph" w:styleId="Footer">
    <w:name w:val="footer"/>
    <w:basedOn w:val="Normal"/>
    <w:link w:val="FooterChar"/>
    <w:uiPriority w:val="99"/>
    <w:unhideWhenUsed/>
    <w:rsid w:val="00C82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4F4"/>
  </w:style>
  <w:style w:type="paragraph" w:styleId="ListParagraph">
    <w:name w:val="List Paragraph"/>
    <w:basedOn w:val="Normal"/>
    <w:uiPriority w:val="34"/>
    <w:qFormat/>
    <w:rsid w:val="00C90368"/>
    <w:pPr>
      <w:ind w:left="720"/>
      <w:contextualSpacing/>
    </w:pPr>
    <w:rPr>
      <w:rFonts w:asciiTheme="minorHAnsi" w:hAnsiTheme="minorHAnsi"/>
    </w:rPr>
  </w:style>
  <w:style w:type="table" w:styleId="TableGrid">
    <w:name w:val="Table Grid"/>
    <w:basedOn w:val="TableNormal"/>
    <w:uiPriority w:val="59"/>
    <w:rsid w:val="00313E40"/>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318D4"/>
    <w:rPr>
      <w:rFonts w:ascii="Cambria" w:eastAsia="Times New Roman" w:hAnsi="Cambria" w:cs="Times New Roman"/>
      <w:b/>
      <w:bCs/>
      <w:color w:val="365F91"/>
      <w:sz w:val="28"/>
      <w:szCs w:val="28"/>
    </w:rPr>
  </w:style>
  <w:style w:type="character" w:styleId="Hyperlink">
    <w:name w:val="Hyperlink"/>
    <w:rsid w:val="00C06FF1"/>
    <w:rPr>
      <w:color w:val="0000FF"/>
      <w:u w:val="single"/>
    </w:rPr>
  </w:style>
  <w:style w:type="paragraph" w:styleId="NormalWeb">
    <w:name w:val="Normal (Web)"/>
    <w:basedOn w:val="Normal"/>
    <w:uiPriority w:val="99"/>
    <w:semiHidden/>
    <w:unhideWhenUsed/>
    <w:rsid w:val="000D10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D43E8"/>
    <w:pPr>
      <w:autoSpaceDE w:val="0"/>
      <w:autoSpaceDN w:val="0"/>
      <w:adjustRightInd w:val="0"/>
      <w:spacing w:after="0" w:line="240" w:lineRule="auto"/>
    </w:pPr>
    <w:rPr>
      <w:rFonts w:eastAsia="Calibri" w:cs="Arial"/>
      <w:color w:val="000000"/>
      <w:sz w:val="24"/>
      <w:szCs w:val="24"/>
      <w:lang w:eastAsia="en-GB"/>
    </w:rPr>
  </w:style>
  <w:style w:type="character" w:styleId="Emphasis">
    <w:name w:val="Emphasis"/>
    <w:basedOn w:val="DefaultParagraphFont"/>
    <w:uiPriority w:val="20"/>
    <w:qFormat/>
    <w:rsid w:val="00FA00F9"/>
    <w:rPr>
      <w:i/>
      <w:iCs/>
      <w:color w:val="555555"/>
    </w:rPr>
  </w:style>
  <w:style w:type="paragraph" w:styleId="PlainText">
    <w:name w:val="Plain Text"/>
    <w:basedOn w:val="Normal"/>
    <w:link w:val="PlainTextChar"/>
    <w:uiPriority w:val="99"/>
    <w:semiHidden/>
    <w:unhideWhenUsed/>
    <w:rsid w:val="00D834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8347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6125">
      <w:bodyDiv w:val="1"/>
      <w:marLeft w:val="0"/>
      <w:marRight w:val="0"/>
      <w:marTop w:val="0"/>
      <w:marBottom w:val="0"/>
      <w:divBdr>
        <w:top w:val="none" w:sz="0" w:space="0" w:color="auto"/>
        <w:left w:val="none" w:sz="0" w:space="0" w:color="auto"/>
        <w:bottom w:val="none" w:sz="0" w:space="0" w:color="auto"/>
        <w:right w:val="none" w:sz="0" w:space="0" w:color="auto"/>
      </w:divBdr>
      <w:divsChild>
        <w:div w:id="1687949150">
          <w:marLeft w:val="0"/>
          <w:marRight w:val="0"/>
          <w:marTop w:val="0"/>
          <w:marBottom w:val="0"/>
          <w:divBdr>
            <w:top w:val="none" w:sz="0" w:space="0" w:color="auto"/>
            <w:left w:val="none" w:sz="0" w:space="0" w:color="auto"/>
            <w:bottom w:val="none" w:sz="0" w:space="0" w:color="auto"/>
            <w:right w:val="none" w:sz="0" w:space="0" w:color="auto"/>
          </w:divBdr>
          <w:divsChild>
            <w:div w:id="1468670017">
              <w:marLeft w:val="0"/>
              <w:marRight w:val="0"/>
              <w:marTop w:val="0"/>
              <w:marBottom w:val="0"/>
              <w:divBdr>
                <w:top w:val="none" w:sz="0" w:space="0" w:color="auto"/>
                <w:left w:val="none" w:sz="0" w:space="0" w:color="auto"/>
                <w:bottom w:val="none" w:sz="0" w:space="0" w:color="auto"/>
                <w:right w:val="none" w:sz="0" w:space="0" w:color="auto"/>
              </w:divBdr>
              <w:divsChild>
                <w:div w:id="2032105222">
                  <w:marLeft w:val="0"/>
                  <w:marRight w:val="0"/>
                  <w:marTop w:val="0"/>
                  <w:marBottom w:val="0"/>
                  <w:divBdr>
                    <w:top w:val="none" w:sz="0" w:space="0" w:color="auto"/>
                    <w:left w:val="none" w:sz="0" w:space="0" w:color="auto"/>
                    <w:bottom w:val="none" w:sz="0" w:space="0" w:color="auto"/>
                    <w:right w:val="none" w:sz="0" w:space="0" w:color="auto"/>
                  </w:divBdr>
                  <w:divsChild>
                    <w:div w:id="1189953694">
                      <w:marLeft w:val="0"/>
                      <w:marRight w:val="0"/>
                      <w:marTop w:val="0"/>
                      <w:marBottom w:val="0"/>
                      <w:divBdr>
                        <w:top w:val="none" w:sz="0" w:space="0" w:color="auto"/>
                        <w:left w:val="none" w:sz="0" w:space="0" w:color="auto"/>
                        <w:bottom w:val="none" w:sz="0" w:space="0" w:color="auto"/>
                        <w:right w:val="none" w:sz="0" w:space="0" w:color="auto"/>
                      </w:divBdr>
                      <w:divsChild>
                        <w:div w:id="1233663548">
                          <w:marLeft w:val="0"/>
                          <w:marRight w:val="0"/>
                          <w:marTop w:val="0"/>
                          <w:marBottom w:val="0"/>
                          <w:divBdr>
                            <w:top w:val="none" w:sz="0" w:space="0" w:color="auto"/>
                            <w:left w:val="none" w:sz="0" w:space="0" w:color="auto"/>
                            <w:bottom w:val="none" w:sz="0" w:space="0" w:color="auto"/>
                            <w:right w:val="none" w:sz="0" w:space="0" w:color="auto"/>
                          </w:divBdr>
                          <w:divsChild>
                            <w:div w:id="2065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19375">
      <w:bodyDiv w:val="1"/>
      <w:marLeft w:val="0"/>
      <w:marRight w:val="0"/>
      <w:marTop w:val="0"/>
      <w:marBottom w:val="0"/>
      <w:divBdr>
        <w:top w:val="none" w:sz="0" w:space="0" w:color="auto"/>
        <w:left w:val="none" w:sz="0" w:space="0" w:color="auto"/>
        <w:bottom w:val="none" w:sz="0" w:space="0" w:color="auto"/>
        <w:right w:val="none" w:sz="0" w:space="0" w:color="auto"/>
      </w:divBdr>
    </w:div>
    <w:div w:id="185020558">
      <w:bodyDiv w:val="1"/>
      <w:marLeft w:val="0"/>
      <w:marRight w:val="0"/>
      <w:marTop w:val="0"/>
      <w:marBottom w:val="0"/>
      <w:divBdr>
        <w:top w:val="none" w:sz="0" w:space="0" w:color="auto"/>
        <w:left w:val="none" w:sz="0" w:space="0" w:color="auto"/>
        <w:bottom w:val="none" w:sz="0" w:space="0" w:color="auto"/>
        <w:right w:val="none" w:sz="0" w:space="0" w:color="auto"/>
      </w:divBdr>
    </w:div>
    <w:div w:id="233855503">
      <w:bodyDiv w:val="1"/>
      <w:marLeft w:val="0"/>
      <w:marRight w:val="0"/>
      <w:marTop w:val="0"/>
      <w:marBottom w:val="0"/>
      <w:divBdr>
        <w:top w:val="none" w:sz="0" w:space="0" w:color="auto"/>
        <w:left w:val="none" w:sz="0" w:space="0" w:color="auto"/>
        <w:bottom w:val="none" w:sz="0" w:space="0" w:color="auto"/>
        <w:right w:val="none" w:sz="0" w:space="0" w:color="auto"/>
      </w:divBdr>
    </w:div>
    <w:div w:id="388695637">
      <w:bodyDiv w:val="1"/>
      <w:marLeft w:val="0"/>
      <w:marRight w:val="0"/>
      <w:marTop w:val="0"/>
      <w:marBottom w:val="0"/>
      <w:divBdr>
        <w:top w:val="none" w:sz="0" w:space="0" w:color="auto"/>
        <w:left w:val="none" w:sz="0" w:space="0" w:color="auto"/>
        <w:bottom w:val="none" w:sz="0" w:space="0" w:color="auto"/>
        <w:right w:val="none" w:sz="0" w:space="0" w:color="auto"/>
      </w:divBdr>
    </w:div>
    <w:div w:id="396704513">
      <w:bodyDiv w:val="1"/>
      <w:marLeft w:val="0"/>
      <w:marRight w:val="0"/>
      <w:marTop w:val="0"/>
      <w:marBottom w:val="0"/>
      <w:divBdr>
        <w:top w:val="none" w:sz="0" w:space="0" w:color="auto"/>
        <w:left w:val="none" w:sz="0" w:space="0" w:color="auto"/>
        <w:bottom w:val="none" w:sz="0" w:space="0" w:color="auto"/>
        <w:right w:val="none" w:sz="0" w:space="0" w:color="auto"/>
      </w:divBdr>
    </w:div>
    <w:div w:id="397166839">
      <w:bodyDiv w:val="1"/>
      <w:marLeft w:val="0"/>
      <w:marRight w:val="0"/>
      <w:marTop w:val="0"/>
      <w:marBottom w:val="0"/>
      <w:divBdr>
        <w:top w:val="none" w:sz="0" w:space="0" w:color="auto"/>
        <w:left w:val="none" w:sz="0" w:space="0" w:color="auto"/>
        <w:bottom w:val="none" w:sz="0" w:space="0" w:color="auto"/>
        <w:right w:val="none" w:sz="0" w:space="0" w:color="auto"/>
      </w:divBdr>
    </w:div>
    <w:div w:id="426120279">
      <w:bodyDiv w:val="1"/>
      <w:marLeft w:val="0"/>
      <w:marRight w:val="0"/>
      <w:marTop w:val="0"/>
      <w:marBottom w:val="0"/>
      <w:divBdr>
        <w:top w:val="none" w:sz="0" w:space="0" w:color="auto"/>
        <w:left w:val="none" w:sz="0" w:space="0" w:color="auto"/>
        <w:bottom w:val="none" w:sz="0" w:space="0" w:color="auto"/>
        <w:right w:val="none" w:sz="0" w:space="0" w:color="auto"/>
      </w:divBdr>
    </w:div>
    <w:div w:id="442040746">
      <w:bodyDiv w:val="1"/>
      <w:marLeft w:val="0"/>
      <w:marRight w:val="0"/>
      <w:marTop w:val="0"/>
      <w:marBottom w:val="0"/>
      <w:divBdr>
        <w:top w:val="none" w:sz="0" w:space="0" w:color="auto"/>
        <w:left w:val="none" w:sz="0" w:space="0" w:color="auto"/>
        <w:bottom w:val="none" w:sz="0" w:space="0" w:color="auto"/>
        <w:right w:val="none" w:sz="0" w:space="0" w:color="auto"/>
      </w:divBdr>
    </w:div>
    <w:div w:id="531891327">
      <w:bodyDiv w:val="1"/>
      <w:marLeft w:val="0"/>
      <w:marRight w:val="0"/>
      <w:marTop w:val="0"/>
      <w:marBottom w:val="0"/>
      <w:divBdr>
        <w:top w:val="none" w:sz="0" w:space="0" w:color="auto"/>
        <w:left w:val="none" w:sz="0" w:space="0" w:color="auto"/>
        <w:bottom w:val="none" w:sz="0" w:space="0" w:color="auto"/>
        <w:right w:val="none" w:sz="0" w:space="0" w:color="auto"/>
      </w:divBdr>
    </w:div>
    <w:div w:id="833421650">
      <w:bodyDiv w:val="1"/>
      <w:marLeft w:val="0"/>
      <w:marRight w:val="0"/>
      <w:marTop w:val="0"/>
      <w:marBottom w:val="0"/>
      <w:divBdr>
        <w:top w:val="none" w:sz="0" w:space="0" w:color="auto"/>
        <w:left w:val="none" w:sz="0" w:space="0" w:color="auto"/>
        <w:bottom w:val="none" w:sz="0" w:space="0" w:color="auto"/>
        <w:right w:val="none" w:sz="0" w:space="0" w:color="auto"/>
      </w:divBdr>
    </w:div>
    <w:div w:id="930625796">
      <w:bodyDiv w:val="1"/>
      <w:marLeft w:val="0"/>
      <w:marRight w:val="0"/>
      <w:marTop w:val="0"/>
      <w:marBottom w:val="0"/>
      <w:divBdr>
        <w:top w:val="none" w:sz="0" w:space="0" w:color="auto"/>
        <w:left w:val="none" w:sz="0" w:space="0" w:color="auto"/>
        <w:bottom w:val="none" w:sz="0" w:space="0" w:color="auto"/>
        <w:right w:val="none" w:sz="0" w:space="0" w:color="auto"/>
      </w:divBdr>
    </w:div>
    <w:div w:id="947279992">
      <w:bodyDiv w:val="1"/>
      <w:marLeft w:val="0"/>
      <w:marRight w:val="0"/>
      <w:marTop w:val="0"/>
      <w:marBottom w:val="0"/>
      <w:divBdr>
        <w:top w:val="none" w:sz="0" w:space="0" w:color="auto"/>
        <w:left w:val="none" w:sz="0" w:space="0" w:color="auto"/>
        <w:bottom w:val="none" w:sz="0" w:space="0" w:color="auto"/>
        <w:right w:val="none" w:sz="0" w:space="0" w:color="auto"/>
      </w:divBdr>
    </w:div>
    <w:div w:id="986396079">
      <w:bodyDiv w:val="1"/>
      <w:marLeft w:val="0"/>
      <w:marRight w:val="0"/>
      <w:marTop w:val="0"/>
      <w:marBottom w:val="0"/>
      <w:divBdr>
        <w:top w:val="none" w:sz="0" w:space="0" w:color="auto"/>
        <w:left w:val="none" w:sz="0" w:space="0" w:color="auto"/>
        <w:bottom w:val="none" w:sz="0" w:space="0" w:color="auto"/>
        <w:right w:val="none" w:sz="0" w:space="0" w:color="auto"/>
      </w:divBdr>
    </w:div>
    <w:div w:id="1062412344">
      <w:bodyDiv w:val="1"/>
      <w:marLeft w:val="0"/>
      <w:marRight w:val="0"/>
      <w:marTop w:val="0"/>
      <w:marBottom w:val="0"/>
      <w:divBdr>
        <w:top w:val="none" w:sz="0" w:space="0" w:color="auto"/>
        <w:left w:val="none" w:sz="0" w:space="0" w:color="auto"/>
        <w:bottom w:val="none" w:sz="0" w:space="0" w:color="auto"/>
        <w:right w:val="none" w:sz="0" w:space="0" w:color="auto"/>
      </w:divBdr>
    </w:div>
    <w:div w:id="1096092440">
      <w:bodyDiv w:val="1"/>
      <w:marLeft w:val="0"/>
      <w:marRight w:val="0"/>
      <w:marTop w:val="0"/>
      <w:marBottom w:val="0"/>
      <w:divBdr>
        <w:top w:val="none" w:sz="0" w:space="0" w:color="auto"/>
        <w:left w:val="none" w:sz="0" w:space="0" w:color="auto"/>
        <w:bottom w:val="none" w:sz="0" w:space="0" w:color="auto"/>
        <w:right w:val="none" w:sz="0" w:space="0" w:color="auto"/>
      </w:divBdr>
    </w:div>
    <w:div w:id="1182427709">
      <w:bodyDiv w:val="1"/>
      <w:marLeft w:val="0"/>
      <w:marRight w:val="0"/>
      <w:marTop w:val="0"/>
      <w:marBottom w:val="0"/>
      <w:divBdr>
        <w:top w:val="none" w:sz="0" w:space="0" w:color="auto"/>
        <w:left w:val="none" w:sz="0" w:space="0" w:color="auto"/>
        <w:bottom w:val="none" w:sz="0" w:space="0" w:color="auto"/>
        <w:right w:val="none" w:sz="0" w:space="0" w:color="auto"/>
      </w:divBdr>
    </w:div>
    <w:div w:id="1205293275">
      <w:bodyDiv w:val="1"/>
      <w:marLeft w:val="0"/>
      <w:marRight w:val="0"/>
      <w:marTop w:val="0"/>
      <w:marBottom w:val="0"/>
      <w:divBdr>
        <w:top w:val="none" w:sz="0" w:space="0" w:color="auto"/>
        <w:left w:val="none" w:sz="0" w:space="0" w:color="auto"/>
        <w:bottom w:val="none" w:sz="0" w:space="0" w:color="auto"/>
        <w:right w:val="none" w:sz="0" w:space="0" w:color="auto"/>
      </w:divBdr>
    </w:div>
    <w:div w:id="1358046478">
      <w:bodyDiv w:val="1"/>
      <w:marLeft w:val="0"/>
      <w:marRight w:val="0"/>
      <w:marTop w:val="0"/>
      <w:marBottom w:val="0"/>
      <w:divBdr>
        <w:top w:val="none" w:sz="0" w:space="0" w:color="auto"/>
        <w:left w:val="none" w:sz="0" w:space="0" w:color="auto"/>
        <w:bottom w:val="none" w:sz="0" w:space="0" w:color="auto"/>
        <w:right w:val="none" w:sz="0" w:space="0" w:color="auto"/>
      </w:divBdr>
    </w:div>
    <w:div w:id="1368987569">
      <w:bodyDiv w:val="1"/>
      <w:marLeft w:val="0"/>
      <w:marRight w:val="0"/>
      <w:marTop w:val="0"/>
      <w:marBottom w:val="0"/>
      <w:divBdr>
        <w:top w:val="none" w:sz="0" w:space="0" w:color="auto"/>
        <w:left w:val="none" w:sz="0" w:space="0" w:color="auto"/>
        <w:bottom w:val="none" w:sz="0" w:space="0" w:color="auto"/>
        <w:right w:val="none" w:sz="0" w:space="0" w:color="auto"/>
      </w:divBdr>
    </w:div>
    <w:div w:id="1438522740">
      <w:bodyDiv w:val="1"/>
      <w:marLeft w:val="0"/>
      <w:marRight w:val="0"/>
      <w:marTop w:val="0"/>
      <w:marBottom w:val="0"/>
      <w:divBdr>
        <w:top w:val="none" w:sz="0" w:space="0" w:color="auto"/>
        <w:left w:val="none" w:sz="0" w:space="0" w:color="auto"/>
        <w:bottom w:val="none" w:sz="0" w:space="0" w:color="auto"/>
        <w:right w:val="none" w:sz="0" w:space="0" w:color="auto"/>
      </w:divBdr>
    </w:div>
    <w:div w:id="1512064406">
      <w:bodyDiv w:val="1"/>
      <w:marLeft w:val="0"/>
      <w:marRight w:val="0"/>
      <w:marTop w:val="0"/>
      <w:marBottom w:val="0"/>
      <w:divBdr>
        <w:top w:val="none" w:sz="0" w:space="0" w:color="auto"/>
        <w:left w:val="none" w:sz="0" w:space="0" w:color="auto"/>
        <w:bottom w:val="none" w:sz="0" w:space="0" w:color="auto"/>
        <w:right w:val="none" w:sz="0" w:space="0" w:color="auto"/>
      </w:divBdr>
    </w:div>
    <w:div w:id="1549954601">
      <w:bodyDiv w:val="1"/>
      <w:marLeft w:val="0"/>
      <w:marRight w:val="0"/>
      <w:marTop w:val="0"/>
      <w:marBottom w:val="0"/>
      <w:divBdr>
        <w:top w:val="none" w:sz="0" w:space="0" w:color="auto"/>
        <w:left w:val="none" w:sz="0" w:space="0" w:color="auto"/>
        <w:bottom w:val="none" w:sz="0" w:space="0" w:color="auto"/>
        <w:right w:val="none" w:sz="0" w:space="0" w:color="auto"/>
      </w:divBdr>
    </w:div>
    <w:div w:id="1615746739">
      <w:bodyDiv w:val="1"/>
      <w:marLeft w:val="0"/>
      <w:marRight w:val="0"/>
      <w:marTop w:val="0"/>
      <w:marBottom w:val="0"/>
      <w:divBdr>
        <w:top w:val="none" w:sz="0" w:space="0" w:color="auto"/>
        <w:left w:val="none" w:sz="0" w:space="0" w:color="auto"/>
        <w:bottom w:val="none" w:sz="0" w:space="0" w:color="auto"/>
        <w:right w:val="none" w:sz="0" w:space="0" w:color="auto"/>
      </w:divBdr>
    </w:div>
    <w:div w:id="1692150028">
      <w:bodyDiv w:val="1"/>
      <w:marLeft w:val="0"/>
      <w:marRight w:val="0"/>
      <w:marTop w:val="0"/>
      <w:marBottom w:val="0"/>
      <w:divBdr>
        <w:top w:val="none" w:sz="0" w:space="0" w:color="auto"/>
        <w:left w:val="none" w:sz="0" w:space="0" w:color="auto"/>
        <w:bottom w:val="none" w:sz="0" w:space="0" w:color="auto"/>
        <w:right w:val="none" w:sz="0" w:space="0" w:color="auto"/>
      </w:divBdr>
    </w:div>
    <w:div w:id="1700004607">
      <w:bodyDiv w:val="1"/>
      <w:marLeft w:val="0"/>
      <w:marRight w:val="0"/>
      <w:marTop w:val="0"/>
      <w:marBottom w:val="0"/>
      <w:divBdr>
        <w:top w:val="none" w:sz="0" w:space="0" w:color="auto"/>
        <w:left w:val="none" w:sz="0" w:space="0" w:color="auto"/>
        <w:bottom w:val="none" w:sz="0" w:space="0" w:color="auto"/>
        <w:right w:val="none" w:sz="0" w:space="0" w:color="auto"/>
      </w:divBdr>
    </w:div>
    <w:div w:id="1753744695">
      <w:bodyDiv w:val="1"/>
      <w:marLeft w:val="0"/>
      <w:marRight w:val="0"/>
      <w:marTop w:val="0"/>
      <w:marBottom w:val="0"/>
      <w:divBdr>
        <w:top w:val="none" w:sz="0" w:space="0" w:color="auto"/>
        <w:left w:val="none" w:sz="0" w:space="0" w:color="auto"/>
        <w:bottom w:val="none" w:sz="0" w:space="0" w:color="auto"/>
        <w:right w:val="none" w:sz="0" w:space="0" w:color="auto"/>
      </w:divBdr>
    </w:div>
    <w:div w:id="1781148694">
      <w:bodyDiv w:val="1"/>
      <w:marLeft w:val="0"/>
      <w:marRight w:val="0"/>
      <w:marTop w:val="0"/>
      <w:marBottom w:val="0"/>
      <w:divBdr>
        <w:top w:val="none" w:sz="0" w:space="0" w:color="auto"/>
        <w:left w:val="none" w:sz="0" w:space="0" w:color="auto"/>
        <w:bottom w:val="none" w:sz="0" w:space="0" w:color="auto"/>
        <w:right w:val="none" w:sz="0" w:space="0" w:color="auto"/>
      </w:divBdr>
    </w:div>
    <w:div w:id="1808089533">
      <w:bodyDiv w:val="1"/>
      <w:marLeft w:val="0"/>
      <w:marRight w:val="0"/>
      <w:marTop w:val="0"/>
      <w:marBottom w:val="0"/>
      <w:divBdr>
        <w:top w:val="none" w:sz="0" w:space="0" w:color="auto"/>
        <w:left w:val="none" w:sz="0" w:space="0" w:color="auto"/>
        <w:bottom w:val="none" w:sz="0" w:space="0" w:color="auto"/>
        <w:right w:val="none" w:sz="0" w:space="0" w:color="auto"/>
      </w:divBdr>
    </w:div>
    <w:div w:id="1815367631">
      <w:bodyDiv w:val="1"/>
      <w:marLeft w:val="0"/>
      <w:marRight w:val="0"/>
      <w:marTop w:val="0"/>
      <w:marBottom w:val="0"/>
      <w:divBdr>
        <w:top w:val="none" w:sz="0" w:space="0" w:color="auto"/>
        <w:left w:val="none" w:sz="0" w:space="0" w:color="auto"/>
        <w:bottom w:val="none" w:sz="0" w:space="0" w:color="auto"/>
        <w:right w:val="none" w:sz="0" w:space="0" w:color="auto"/>
      </w:divBdr>
    </w:div>
    <w:div w:id="1817795615">
      <w:bodyDiv w:val="1"/>
      <w:marLeft w:val="0"/>
      <w:marRight w:val="0"/>
      <w:marTop w:val="0"/>
      <w:marBottom w:val="0"/>
      <w:divBdr>
        <w:top w:val="none" w:sz="0" w:space="0" w:color="auto"/>
        <w:left w:val="none" w:sz="0" w:space="0" w:color="auto"/>
        <w:bottom w:val="none" w:sz="0" w:space="0" w:color="auto"/>
        <w:right w:val="none" w:sz="0" w:space="0" w:color="auto"/>
      </w:divBdr>
    </w:div>
    <w:div w:id="1856728383">
      <w:bodyDiv w:val="1"/>
      <w:marLeft w:val="0"/>
      <w:marRight w:val="0"/>
      <w:marTop w:val="0"/>
      <w:marBottom w:val="0"/>
      <w:divBdr>
        <w:top w:val="none" w:sz="0" w:space="0" w:color="auto"/>
        <w:left w:val="none" w:sz="0" w:space="0" w:color="auto"/>
        <w:bottom w:val="none" w:sz="0" w:space="0" w:color="auto"/>
        <w:right w:val="none" w:sz="0" w:space="0" w:color="auto"/>
      </w:divBdr>
    </w:div>
    <w:div w:id="1899123943">
      <w:bodyDiv w:val="1"/>
      <w:marLeft w:val="0"/>
      <w:marRight w:val="0"/>
      <w:marTop w:val="0"/>
      <w:marBottom w:val="0"/>
      <w:divBdr>
        <w:top w:val="none" w:sz="0" w:space="0" w:color="auto"/>
        <w:left w:val="none" w:sz="0" w:space="0" w:color="auto"/>
        <w:bottom w:val="none" w:sz="0" w:space="0" w:color="auto"/>
        <w:right w:val="none" w:sz="0" w:space="0" w:color="auto"/>
      </w:divBdr>
    </w:div>
    <w:div w:id="1909488433">
      <w:bodyDiv w:val="1"/>
      <w:marLeft w:val="0"/>
      <w:marRight w:val="0"/>
      <w:marTop w:val="0"/>
      <w:marBottom w:val="0"/>
      <w:divBdr>
        <w:top w:val="none" w:sz="0" w:space="0" w:color="auto"/>
        <w:left w:val="none" w:sz="0" w:space="0" w:color="auto"/>
        <w:bottom w:val="none" w:sz="0" w:space="0" w:color="auto"/>
        <w:right w:val="none" w:sz="0" w:space="0" w:color="auto"/>
      </w:divBdr>
    </w:div>
    <w:div w:id="1911109078">
      <w:bodyDiv w:val="1"/>
      <w:marLeft w:val="0"/>
      <w:marRight w:val="0"/>
      <w:marTop w:val="0"/>
      <w:marBottom w:val="0"/>
      <w:divBdr>
        <w:top w:val="none" w:sz="0" w:space="0" w:color="auto"/>
        <w:left w:val="none" w:sz="0" w:space="0" w:color="auto"/>
        <w:bottom w:val="none" w:sz="0" w:space="0" w:color="auto"/>
        <w:right w:val="none" w:sz="0" w:space="0" w:color="auto"/>
      </w:divBdr>
    </w:div>
    <w:div w:id="1935700041">
      <w:bodyDiv w:val="1"/>
      <w:marLeft w:val="0"/>
      <w:marRight w:val="0"/>
      <w:marTop w:val="0"/>
      <w:marBottom w:val="0"/>
      <w:divBdr>
        <w:top w:val="none" w:sz="0" w:space="0" w:color="auto"/>
        <w:left w:val="none" w:sz="0" w:space="0" w:color="auto"/>
        <w:bottom w:val="none" w:sz="0" w:space="0" w:color="auto"/>
        <w:right w:val="none" w:sz="0" w:space="0" w:color="auto"/>
      </w:divBdr>
    </w:div>
    <w:div w:id="21429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affnet.snc.ac.uk/departments/quality/sar/2014-15%20SAR%20Depository/EDI/WhiteBlack%20Caribbean%20learners%202.7.15.docx"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50AE9-38A5-40FF-A1CE-F5172DF8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6168</Words>
  <Characters>35158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South Nottingham College</Company>
  <LinksUpToDate>false</LinksUpToDate>
  <CharactersWithSpaces>41244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Duggan</dc:creator>
  <cp:lastModifiedBy>localuser</cp:lastModifiedBy>
  <cp:revision>2</cp:revision>
  <cp:lastPrinted>2015-02-03T08:30:00Z</cp:lastPrinted>
  <dcterms:created xsi:type="dcterms:W3CDTF">2016-06-15T10:10:00Z</dcterms:created>
  <dcterms:modified xsi:type="dcterms:W3CDTF">2016-06-15T10:10:00Z</dcterms:modified>
</cp:coreProperties>
</file>